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40942" w14:textId="0E41113B" w:rsidR="008F539C" w:rsidRPr="00F26B1C" w:rsidRDefault="008F539C" w:rsidP="008F539C">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630D35">
        <w:rPr>
          <w:rFonts w:ascii="Arial" w:hAnsi="Arial" w:cs="Arial"/>
          <w:b/>
          <w:bCs/>
          <w:lang w:val="en-US"/>
        </w:rPr>
        <w:t>R2-2308820</w:t>
      </w:r>
      <w:bookmarkStart w:id="0" w:name="_GoBack"/>
      <w:bookmarkEnd w:id="0"/>
    </w:p>
    <w:p w14:paraId="27CAEAD4" w14:textId="5FF03A24" w:rsidR="00D92427" w:rsidRPr="00A20554" w:rsidRDefault="008F539C" w:rsidP="006C29C5">
      <w:pPr>
        <w:tabs>
          <w:tab w:val="left" w:pos="1979"/>
        </w:tabs>
        <w:spacing w:after="180" w:line="240" w:lineRule="auto"/>
        <w:jc w:val="left"/>
        <w:rPr>
          <w:rFonts w:ascii="Arial" w:hAnsi="Arial" w:cs="Arial"/>
          <w:b/>
          <w:bCs/>
          <w:lang w:val="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w:t>
      </w:r>
      <w:r w:rsidRPr="00BD694A">
        <w:rPr>
          <w:rFonts w:ascii="Arial" w:hAnsi="Arial" w:cs="Arial"/>
          <w:b/>
          <w:bCs/>
          <w:lang w:val="en-US"/>
        </w:rPr>
        <w:t>, 2023</w:t>
      </w:r>
      <w:r>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C29C5">
        <w:rPr>
          <w:rFonts w:ascii="Arial" w:hAnsi="Arial" w:cs="Arial"/>
          <w:b/>
          <w:bCs/>
          <w:lang w:val="en-US" w:eastAsia="en-US"/>
        </w:rPr>
        <w:tab/>
      </w:r>
      <w:r w:rsidR="00CE228F">
        <w:rPr>
          <w:rFonts w:ascii="Arial" w:hAnsi="Arial" w:cs="Arial"/>
          <w:b/>
          <w:bCs/>
          <w:lang w:val="en-US" w:eastAsia="en-US"/>
        </w:rPr>
        <w:tab/>
      </w:r>
      <w:r w:rsidR="0058747B">
        <w:rPr>
          <w:rFonts w:ascii="Arial" w:hAnsi="Arial" w:cs="Arial"/>
          <w:b/>
          <w:bCs/>
          <w:lang w:val="en-US" w:eastAsia="en-US"/>
        </w:rPr>
        <w:tab/>
      </w:r>
      <w:r w:rsidR="0058747B">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B3B518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OLE_LINK1"/>
      <w:bookmarkStart w:id="2" w:name="OLE_LINK2"/>
      <w:r w:rsidR="008F539C">
        <w:rPr>
          <w:rFonts w:ascii="Arial" w:hAnsi="Arial" w:cs="Arial"/>
          <w:b/>
          <w:bCs/>
          <w:lang w:val="en-US" w:eastAsia="en-US"/>
        </w:rPr>
        <w:t xml:space="preserve">Discussion on CHO with </w:t>
      </w:r>
      <w:r w:rsidR="008F539C">
        <w:rPr>
          <w:rFonts w:ascii="Arial" w:hAnsi="Arial" w:cs="Arial" w:hint="eastAsia"/>
          <w:b/>
          <w:bCs/>
          <w:lang w:val="en-US"/>
        </w:rPr>
        <w:t>candidate</w:t>
      </w:r>
      <w:r w:rsidR="008F539C">
        <w:rPr>
          <w:rFonts w:ascii="Arial" w:hAnsi="Arial" w:cs="Arial"/>
          <w:b/>
          <w:bCs/>
          <w:lang w:val="en-US" w:eastAsia="en-US"/>
        </w:rPr>
        <w:t xml:space="preserve"> </w:t>
      </w:r>
      <w:r w:rsidR="008F539C">
        <w:rPr>
          <w:rFonts w:ascii="Arial" w:hAnsi="Arial" w:cs="Arial" w:hint="eastAsia"/>
          <w:b/>
          <w:bCs/>
          <w:lang w:val="en-US"/>
        </w:rPr>
        <w:t>SCG(</w:t>
      </w:r>
      <w:r w:rsidR="008F539C">
        <w:rPr>
          <w:rFonts w:ascii="Arial" w:hAnsi="Arial" w:cs="Arial"/>
          <w:b/>
          <w:bCs/>
          <w:lang w:val="en-US"/>
        </w:rPr>
        <w:t>s)</w:t>
      </w:r>
    </w:p>
    <w:bookmarkEnd w:id="1"/>
    <w:bookmarkEnd w:id="2"/>
    <w:p w14:paraId="12450CE5" w14:textId="4C29582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7306E">
        <w:rPr>
          <w:rFonts w:ascii="Arial" w:hAnsi="Arial" w:cs="Arial"/>
          <w:b/>
          <w:bCs/>
          <w:lang w:val="en-US" w:eastAsia="en-US"/>
        </w:rPr>
        <w:t>7</w:t>
      </w:r>
      <w:r w:rsidR="00AA0C6F">
        <w:rPr>
          <w:rFonts w:ascii="Arial" w:hAnsi="Arial" w:cs="Arial"/>
          <w:b/>
          <w:bCs/>
          <w:lang w:val="en-US" w:eastAsia="en-US"/>
        </w:rPr>
        <w:t>.4.4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3" w:name="_Ref165266342"/>
      <w:r>
        <w:t>Introduction</w:t>
      </w:r>
      <w:bookmarkEnd w:id="3"/>
    </w:p>
    <w:p w14:paraId="77F2230D" w14:textId="6AA0752C" w:rsidR="00F4066E" w:rsidRPr="003D1E8A" w:rsidRDefault="00273582" w:rsidP="00140B1F">
      <w:pPr>
        <w:rPr>
          <w:szCs w:val="22"/>
        </w:rPr>
      </w:pPr>
      <w:r w:rsidRPr="003D1E8A">
        <w:rPr>
          <w:szCs w:val="22"/>
        </w:rPr>
        <w:t>According to the WID [1] of the Rel-18 mobility enhancements</w:t>
      </w:r>
      <w:r w:rsidR="00FF4974" w:rsidRPr="003D1E8A">
        <w:rPr>
          <w:szCs w:val="22"/>
        </w:rPr>
        <w:t xml:space="preserve"> as quoted below</w:t>
      </w:r>
      <w:r w:rsidR="00B15E6E" w:rsidRPr="003D1E8A">
        <w:rPr>
          <w:szCs w:val="22"/>
        </w:rPr>
        <w:t xml:space="preserve">, </w:t>
      </w:r>
      <w:r w:rsidR="00354E14" w:rsidRPr="003D1E8A">
        <w:rPr>
          <w:rFonts w:hint="eastAsia"/>
          <w:szCs w:val="22"/>
        </w:rPr>
        <w:t>one</w:t>
      </w:r>
      <w:r w:rsidR="00354E14" w:rsidRPr="003D1E8A">
        <w:rPr>
          <w:szCs w:val="22"/>
        </w:rPr>
        <w:t xml:space="preserve"> </w:t>
      </w:r>
      <w:r w:rsidR="00354E14" w:rsidRPr="003D1E8A">
        <w:rPr>
          <w:rFonts w:hint="eastAsia"/>
          <w:szCs w:val="22"/>
        </w:rPr>
        <w:t>objective</w:t>
      </w:r>
      <w:r w:rsidR="00354E14" w:rsidRPr="003D1E8A">
        <w:rPr>
          <w:szCs w:val="22"/>
        </w:rPr>
        <w:t xml:space="preserve"> </w:t>
      </w:r>
      <w:r w:rsidR="00354E14" w:rsidRPr="003D1E8A">
        <w:rPr>
          <w:rFonts w:hint="eastAsia"/>
          <w:szCs w:val="22"/>
        </w:rPr>
        <w:t>of</w:t>
      </w:r>
      <w:r w:rsidR="000F1B7F" w:rsidRPr="003D1E8A">
        <w:rPr>
          <w:szCs w:val="22"/>
        </w:rPr>
        <w:t xml:space="preserve"> </w:t>
      </w:r>
      <w:r w:rsidR="008B158C" w:rsidRPr="003D1E8A">
        <w:rPr>
          <w:szCs w:val="22"/>
        </w:rPr>
        <w:t>CHO including target MCG and candidate SCGs for CPC/CPA</w:t>
      </w:r>
      <w:r w:rsidR="000F1B7F" w:rsidRPr="003D1E8A">
        <w:rPr>
          <w:szCs w:val="22"/>
        </w:rPr>
        <w:t xml:space="preserve"> </w:t>
      </w:r>
      <w:r w:rsidR="008B158C" w:rsidRPr="003D1E8A">
        <w:rPr>
          <w:rFonts w:hint="eastAsia"/>
          <w:szCs w:val="22"/>
        </w:rPr>
        <w:t>is</w:t>
      </w:r>
      <w:r w:rsidR="00361937" w:rsidRPr="003D1E8A">
        <w:rPr>
          <w:szCs w:val="22"/>
        </w:rPr>
        <w:t xml:space="preserve"> included.</w:t>
      </w:r>
    </w:p>
    <w:tbl>
      <w:tblPr>
        <w:tblStyle w:val="ac"/>
        <w:tblW w:w="0" w:type="auto"/>
        <w:tblLook w:val="04A0" w:firstRow="1" w:lastRow="0" w:firstColumn="1" w:lastColumn="0" w:noHBand="0" w:noVBand="1"/>
      </w:tblPr>
      <w:tblGrid>
        <w:gridCol w:w="9629"/>
      </w:tblGrid>
      <w:tr w:rsidR="008D44AE" w:rsidRPr="003D1E8A" w14:paraId="20EDCD91" w14:textId="77777777" w:rsidTr="00EC2FDF">
        <w:tc>
          <w:tcPr>
            <w:tcW w:w="9629" w:type="dxa"/>
          </w:tcPr>
          <w:p w14:paraId="2941465B" w14:textId="77777777" w:rsidR="0009235F" w:rsidRPr="003D1E8A" w:rsidRDefault="0009235F" w:rsidP="00EF72B0">
            <w:pPr>
              <w:numPr>
                <w:ilvl w:val="0"/>
                <w:numId w:val="29"/>
              </w:numPr>
              <w:spacing w:after="0" w:line="240" w:lineRule="auto"/>
              <w:jc w:val="left"/>
              <w:rPr>
                <w:rFonts w:eastAsia="PMingLiU"/>
                <w:bCs/>
                <w:szCs w:val="22"/>
                <w:lang w:val="en-US" w:eastAsia="en-GB"/>
              </w:rPr>
            </w:pPr>
            <w:r w:rsidRPr="003D1E8A">
              <w:rPr>
                <w:rFonts w:eastAsia="PMingLiU"/>
                <w:bCs/>
                <w:szCs w:val="22"/>
                <w:lang w:val="en-US" w:eastAsia="en-GB"/>
              </w:rPr>
              <w:t>To specify CHO including target MCG and candidate SCGs for CPC/CPA in NR-DC [RAN3, RAN2]</w:t>
            </w:r>
          </w:p>
          <w:p w14:paraId="4834DA1D" w14:textId="77777777" w:rsidR="0009235F" w:rsidRPr="003D1E8A" w:rsidRDefault="0009235F" w:rsidP="0009235F">
            <w:pPr>
              <w:numPr>
                <w:ilvl w:val="0"/>
                <w:numId w:val="17"/>
              </w:numPr>
              <w:spacing w:after="0" w:line="240" w:lineRule="auto"/>
              <w:jc w:val="left"/>
              <w:rPr>
                <w:rFonts w:eastAsia="PMingLiU"/>
                <w:bCs/>
                <w:szCs w:val="22"/>
                <w:lang w:val="en-US" w:eastAsia="en-GB"/>
              </w:rPr>
            </w:pPr>
            <w:r w:rsidRPr="003D1E8A">
              <w:rPr>
                <w:rFonts w:eastAsia="PMingLiU"/>
                <w:bCs/>
                <w:szCs w:val="22"/>
                <w:lang w:val="en-US" w:eastAsia="en-GB"/>
              </w:rPr>
              <w:t>CHO including target MCG and target SCG is used as the baseline</w:t>
            </w:r>
          </w:p>
          <w:p w14:paraId="7D397942" w14:textId="720C9E9F" w:rsidR="008D44AE" w:rsidRPr="003D1E8A" w:rsidRDefault="008D44AE" w:rsidP="009574F7">
            <w:pPr>
              <w:spacing w:after="0" w:line="240" w:lineRule="auto"/>
              <w:jc w:val="left"/>
              <w:rPr>
                <w:rFonts w:eastAsia="PMingLiU"/>
                <w:szCs w:val="22"/>
                <w:lang w:eastAsia="en-GB"/>
              </w:rPr>
            </w:pPr>
          </w:p>
        </w:tc>
      </w:tr>
    </w:tbl>
    <w:p w14:paraId="7997535F" w14:textId="51178321" w:rsidR="00EC2FDF" w:rsidRPr="003D1E8A" w:rsidRDefault="00EC2FDF" w:rsidP="00EC2FDF">
      <w:pPr>
        <w:rPr>
          <w:szCs w:val="22"/>
        </w:rPr>
      </w:pPr>
      <w:r w:rsidRPr="003D1E8A">
        <w:rPr>
          <w:szCs w:val="22"/>
        </w:rPr>
        <w:t>I</w:t>
      </w:r>
      <w:r w:rsidRPr="003D1E8A">
        <w:rPr>
          <w:rFonts w:hint="eastAsia"/>
          <w:szCs w:val="22"/>
        </w:rPr>
        <w:t>n</w:t>
      </w:r>
      <w:r w:rsidRPr="003D1E8A">
        <w:rPr>
          <w:szCs w:val="22"/>
        </w:rPr>
        <w:t xml:space="preserve"> </w:t>
      </w:r>
      <w:r w:rsidRPr="003D1E8A">
        <w:rPr>
          <w:rFonts w:hint="eastAsia"/>
          <w:szCs w:val="22"/>
        </w:rPr>
        <w:t>previous</w:t>
      </w:r>
      <w:r w:rsidRPr="003D1E8A">
        <w:rPr>
          <w:szCs w:val="22"/>
        </w:rPr>
        <w:t xml:space="preserve"> </w:t>
      </w:r>
      <w:r w:rsidRPr="003D1E8A">
        <w:rPr>
          <w:rFonts w:hint="eastAsia"/>
          <w:szCs w:val="22"/>
        </w:rPr>
        <w:t>meetings</w:t>
      </w:r>
      <w:r w:rsidRPr="003D1E8A">
        <w:rPr>
          <w:szCs w:val="22"/>
        </w:rPr>
        <w:t xml:space="preserve">, the following agreements have been reached for </w:t>
      </w:r>
      <w:r w:rsidRPr="003D1E8A">
        <w:rPr>
          <w:rFonts w:eastAsia="PMingLiU"/>
          <w:bCs/>
          <w:szCs w:val="22"/>
          <w:lang w:val="en-US" w:eastAsia="en-GB"/>
        </w:rPr>
        <w:t>CHO including target MCG and candidate SCGs for CPC/CPA in NR-DC</w:t>
      </w:r>
      <w:r w:rsidRPr="003D1E8A">
        <w:rPr>
          <w:szCs w:val="22"/>
        </w:rPr>
        <w:t xml:space="preserve"> [2</w:t>
      </w:r>
      <w:r w:rsidR="002B6DE0" w:rsidRPr="003D1E8A">
        <w:rPr>
          <w:szCs w:val="22"/>
        </w:rPr>
        <w:t>-6</w:t>
      </w:r>
      <w:r w:rsidRPr="003D1E8A">
        <w:rPr>
          <w:szCs w:val="22"/>
        </w:rPr>
        <w:t>]</w:t>
      </w:r>
      <w:r w:rsidRPr="003D1E8A">
        <w:rPr>
          <w:rFonts w:hint="eastAsia"/>
          <w:szCs w:val="22"/>
        </w:rPr>
        <w:t>.</w:t>
      </w:r>
    </w:p>
    <w:p w14:paraId="714B2C27" w14:textId="77777777" w:rsidR="00EC2FDF" w:rsidRPr="003D1E8A" w:rsidRDefault="00EC2FDF" w:rsidP="00EC2FDF">
      <w:pPr>
        <w:spacing w:after="180" w:line="240" w:lineRule="auto"/>
        <w:jc w:val="left"/>
        <w:rPr>
          <w:rFonts w:eastAsia="Times New Roman"/>
          <w:b/>
          <w:iCs/>
          <w:szCs w:val="22"/>
          <w:lang w:val="en-US" w:eastAsia="en-GB"/>
        </w:rPr>
      </w:pPr>
      <w:r w:rsidRPr="003D1E8A">
        <w:rPr>
          <w:rFonts w:eastAsia="Times New Roman"/>
          <w:b/>
          <w:iCs/>
          <w:szCs w:val="22"/>
          <w:lang w:val="en-US" w:eastAsia="en-GB"/>
        </w:rPr>
        <w:t>Agreements_RAN2#119-e</w:t>
      </w:r>
    </w:p>
    <w:p w14:paraId="3FB34984" w14:textId="77777777" w:rsidR="00EC2FDF" w:rsidRPr="003D1E8A" w:rsidRDefault="00EC2FDF" w:rsidP="00EC2FDF">
      <w:pPr>
        <w:pStyle w:val="Agreement"/>
        <w:tabs>
          <w:tab w:val="clear" w:pos="1440"/>
          <w:tab w:val="num" w:pos="1619"/>
        </w:tabs>
        <w:ind w:left="1619"/>
        <w:rPr>
          <w:sz w:val="22"/>
          <w:szCs w:val="22"/>
        </w:rPr>
      </w:pPr>
      <w:r w:rsidRPr="003D1E8A">
        <w:rPr>
          <w:sz w:val="22"/>
          <w:szCs w:val="22"/>
        </w:rPr>
        <w:t>CHO configuration referring to or including CPC/CPA configuration (intended to be applicable together) can be supported.</w:t>
      </w:r>
    </w:p>
    <w:p w14:paraId="09167F4A" w14:textId="02472ECA" w:rsidR="00EC2FDF" w:rsidRPr="003D1E8A" w:rsidRDefault="00EC2FDF" w:rsidP="00140B1F">
      <w:pPr>
        <w:pStyle w:val="Agreement"/>
        <w:tabs>
          <w:tab w:val="clear" w:pos="1440"/>
          <w:tab w:val="num" w:pos="1619"/>
        </w:tabs>
        <w:ind w:left="1619"/>
        <w:rPr>
          <w:sz w:val="22"/>
          <w:szCs w:val="22"/>
        </w:rPr>
      </w:pPr>
      <w:r w:rsidRPr="003D1E8A">
        <w:rPr>
          <w:sz w:val="22"/>
          <w:szCs w:val="22"/>
        </w:rPr>
        <w:t>FFS: When triggering CHO, UE perform CPC/CPA configuration to start CPC/CPA evaluation, FFS if CHO evaluation and CPC/CPA evaluation is concurrent or sequential.</w:t>
      </w:r>
    </w:p>
    <w:p w14:paraId="7FDAA650" w14:textId="77777777" w:rsidR="000B3B17" w:rsidRPr="003D1E8A" w:rsidRDefault="000B3B17" w:rsidP="000B3B17">
      <w:pPr>
        <w:pStyle w:val="Doc-text2"/>
        <w:ind w:left="0" w:firstLine="0"/>
        <w:rPr>
          <w:sz w:val="22"/>
          <w:szCs w:val="22"/>
        </w:rPr>
      </w:pPr>
    </w:p>
    <w:p w14:paraId="6D55C810" w14:textId="49601E12" w:rsidR="000B3B17" w:rsidRPr="003D1E8A" w:rsidRDefault="000B3B17" w:rsidP="000B3B17">
      <w:pPr>
        <w:spacing w:after="180" w:line="240" w:lineRule="auto"/>
        <w:jc w:val="left"/>
        <w:rPr>
          <w:rFonts w:eastAsia="Times New Roman"/>
          <w:b/>
          <w:iCs/>
          <w:szCs w:val="22"/>
          <w:lang w:val="en-US" w:eastAsia="en-GB"/>
        </w:rPr>
      </w:pPr>
      <w:r w:rsidRPr="003D1E8A">
        <w:rPr>
          <w:rFonts w:eastAsia="Times New Roman"/>
          <w:b/>
          <w:iCs/>
          <w:szCs w:val="22"/>
          <w:lang w:val="en-US" w:eastAsia="en-GB"/>
        </w:rPr>
        <w:t>Agreements_RAN2#120</w:t>
      </w:r>
    </w:p>
    <w:p w14:paraId="31AFC167" w14:textId="77777777" w:rsidR="000B3B17" w:rsidRPr="003D1E8A" w:rsidRDefault="000B3B17" w:rsidP="000B3B17">
      <w:pPr>
        <w:pStyle w:val="Agreement"/>
        <w:tabs>
          <w:tab w:val="clear" w:pos="1440"/>
          <w:tab w:val="num" w:pos="1619"/>
        </w:tabs>
        <w:ind w:left="1619"/>
        <w:rPr>
          <w:sz w:val="22"/>
          <w:szCs w:val="22"/>
        </w:rPr>
      </w:pPr>
      <w:r w:rsidRPr="003D1E8A">
        <w:rPr>
          <w:sz w:val="22"/>
          <w:szCs w:val="22"/>
        </w:rPr>
        <w:t>Execution order: the UE doesn’t execute CPC/CPA unless CHO condition is fulfilled (regardless parallel or sequential evaluation)</w:t>
      </w:r>
    </w:p>
    <w:p w14:paraId="0CB882A8" w14:textId="77777777" w:rsidR="0027306E" w:rsidRPr="003D1E8A" w:rsidRDefault="0027306E" w:rsidP="0027306E">
      <w:pPr>
        <w:spacing w:after="180" w:line="240" w:lineRule="auto"/>
        <w:jc w:val="left"/>
        <w:rPr>
          <w:rFonts w:eastAsia="Times New Roman"/>
          <w:b/>
          <w:iCs/>
          <w:szCs w:val="22"/>
          <w:lang w:val="en-US" w:eastAsia="en-GB"/>
        </w:rPr>
      </w:pPr>
    </w:p>
    <w:p w14:paraId="4B07E3C3" w14:textId="3A399385" w:rsidR="0027306E" w:rsidRPr="003D1E8A" w:rsidRDefault="0027306E" w:rsidP="0027306E">
      <w:pPr>
        <w:spacing w:after="180" w:line="240" w:lineRule="auto"/>
        <w:jc w:val="left"/>
        <w:rPr>
          <w:rFonts w:eastAsia="Times New Roman"/>
          <w:b/>
          <w:iCs/>
          <w:szCs w:val="22"/>
          <w:lang w:val="en-US" w:eastAsia="en-GB"/>
        </w:rPr>
      </w:pPr>
      <w:r w:rsidRPr="003D1E8A">
        <w:rPr>
          <w:rFonts w:eastAsia="Times New Roman"/>
          <w:b/>
          <w:iCs/>
          <w:szCs w:val="22"/>
          <w:lang w:val="en-US" w:eastAsia="en-GB"/>
        </w:rPr>
        <w:t>Agreements_RAN2#121</w:t>
      </w:r>
    </w:p>
    <w:p w14:paraId="2258954C" w14:textId="023875B2" w:rsidR="0027306E" w:rsidRPr="003D1E8A" w:rsidRDefault="0027306E" w:rsidP="0027306E">
      <w:pPr>
        <w:pStyle w:val="Agreement"/>
        <w:tabs>
          <w:tab w:val="clear" w:pos="1440"/>
          <w:tab w:val="num" w:pos="1619"/>
        </w:tabs>
        <w:ind w:left="1619"/>
        <w:rPr>
          <w:sz w:val="22"/>
          <w:szCs w:val="22"/>
        </w:rPr>
      </w:pPr>
      <w:r w:rsidRPr="003D1E8A">
        <w:rPr>
          <w:sz w:val="22"/>
          <w:szCs w:val="22"/>
        </w:rPr>
        <w:t>RAN2 agrees to support the simultaneous evaluation of CHO and CPC in Rel-18</w:t>
      </w:r>
    </w:p>
    <w:p w14:paraId="195374AD" w14:textId="36B5C538" w:rsidR="000B3B17" w:rsidRPr="003D1E8A" w:rsidRDefault="0027306E" w:rsidP="0027306E">
      <w:pPr>
        <w:pStyle w:val="Agreement"/>
        <w:tabs>
          <w:tab w:val="clear" w:pos="1440"/>
          <w:tab w:val="num" w:pos="1619"/>
        </w:tabs>
        <w:ind w:left="1619"/>
        <w:rPr>
          <w:sz w:val="22"/>
          <w:szCs w:val="22"/>
        </w:rPr>
      </w:pPr>
      <w:r w:rsidRPr="003D1E8A">
        <w:rPr>
          <w:sz w:val="22"/>
          <w:szCs w:val="22"/>
        </w:rPr>
        <w:t>The UE should not need to unpack any of the nested conditionalconfiguration containers in order to measure, acc to agreement above</w:t>
      </w:r>
    </w:p>
    <w:p w14:paraId="765BB7F4" w14:textId="37AD0ED7" w:rsidR="00A464BB" w:rsidRPr="003D1E8A" w:rsidRDefault="00A464BB" w:rsidP="00A464BB">
      <w:pPr>
        <w:pStyle w:val="Doc-text2"/>
        <w:ind w:left="0" w:firstLine="0"/>
        <w:rPr>
          <w:sz w:val="22"/>
          <w:szCs w:val="22"/>
        </w:rPr>
      </w:pPr>
    </w:p>
    <w:p w14:paraId="051F2A0C" w14:textId="1E72C779" w:rsidR="00A464BB" w:rsidRPr="003D1E8A" w:rsidRDefault="00A464BB" w:rsidP="00A464BB">
      <w:pPr>
        <w:spacing w:after="180" w:line="240" w:lineRule="auto"/>
        <w:jc w:val="left"/>
        <w:rPr>
          <w:rFonts w:eastAsia="Times New Roman"/>
          <w:b/>
          <w:iCs/>
          <w:szCs w:val="22"/>
          <w:lang w:val="en-US" w:eastAsia="en-GB"/>
        </w:rPr>
      </w:pPr>
      <w:r w:rsidRPr="003D1E8A">
        <w:rPr>
          <w:rFonts w:eastAsia="Times New Roman"/>
          <w:b/>
          <w:iCs/>
          <w:szCs w:val="22"/>
          <w:lang w:val="en-US" w:eastAsia="en-GB"/>
        </w:rPr>
        <w:t>Agreements_RAN2#121bis-e</w:t>
      </w:r>
    </w:p>
    <w:p w14:paraId="67CCD901" w14:textId="77777777" w:rsidR="00A464BB" w:rsidRPr="003D1E8A" w:rsidRDefault="00A464BB" w:rsidP="00A464BB">
      <w:pPr>
        <w:pStyle w:val="Agreement"/>
        <w:numPr>
          <w:ilvl w:val="0"/>
          <w:numId w:val="0"/>
        </w:numPr>
        <w:ind w:left="1619" w:hanging="360"/>
        <w:rPr>
          <w:sz w:val="22"/>
          <w:szCs w:val="22"/>
        </w:rPr>
      </w:pPr>
      <w:r w:rsidRPr="003D1E8A">
        <w:rPr>
          <w:sz w:val="22"/>
          <w:szCs w:val="22"/>
        </w:rPr>
        <w:t>For the CHO+CPC case:</w:t>
      </w:r>
    </w:p>
    <w:p w14:paraId="38ADD79A" w14:textId="77777777" w:rsidR="00A464BB" w:rsidRPr="003D1E8A" w:rsidRDefault="00A464BB" w:rsidP="00A464BB">
      <w:pPr>
        <w:pStyle w:val="Agreement"/>
        <w:tabs>
          <w:tab w:val="clear" w:pos="1440"/>
          <w:tab w:val="num" w:pos="1619"/>
        </w:tabs>
        <w:ind w:left="1619"/>
        <w:rPr>
          <w:sz w:val="22"/>
          <w:szCs w:val="22"/>
        </w:rPr>
      </w:pPr>
      <w:r w:rsidRPr="003D1E8A">
        <w:rPr>
          <w:sz w:val="22"/>
          <w:szCs w:val="22"/>
        </w:rPr>
        <w:t>When both CHO and CPC conditions are met, both CHO and CPC cell change is executed.</w:t>
      </w:r>
    </w:p>
    <w:p w14:paraId="0034F96E" w14:textId="77777777" w:rsidR="00A464BB" w:rsidRPr="003D1E8A" w:rsidRDefault="00A464BB" w:rsidP="00A464BB">
      <w:pPr>
        <w:pStyle w:val="Agreement"/>
        <w:tabs>
          <w:tab w:val="clear" w:pos="1440"/>
          <w:tab w:val="num" w:pos="1619"/>
        </w:tabs>
        <w:ind w:left="1619"/>
        <w:rPr>
          <w:sz w:val="22"/>
          <w:szCs w:val="22"/>
        </w:rPr>
      </w:pPr>
      <w:r w:rsidRPr="003D1E8A">
        <w:rPr>
          <w:sz w:val="22"/>
          <w:szCs w:val="22"/>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0B519335" w14:textId="77777777" w:rsidR="00A464BB" w:rsidRPr="003D1E8A" w:rsidRDefault="00A464BB" w:rsidP="00A464BB">
      <w:pPr>
        <w:pStyle w:val="Agreement"/>
        <w:tabs>
          <w:tab w:val="clear" w:pos="1440"/>
          <w:tab w:val="num" w:pos="1619"/>
        </w:tabs>
        <w:ind w:left="1619"/>
        <w:rPr>
          <w:sz w:val="22"/>
          <w:szCs w:val="22"/>
        </w:rPr>
      </w:pPr>
      <w:r w:rsidRPr="003D1E8A">
        <w:rPr>
          <w:sz w:val="22"/>
          <w:szCs w:val="22"/>
        </w:rPr>
        <w:lastRenderedPageBreak/>
        <w:t>Alternative: FFS if When CHO condition is met, but CPC condition is not met, CHO execution is triggered (and somehow source SCG can be released). IF allowed in the new configuration the UE may continue evaluation of CPC/CPA conditions.</w:t>
      </w:r>
    </w:p>
    <w:p w14:paraId="67CEFB15" w14:textId="77777777" w:rsidR="00DF2537" w:rsidRPr="003D1E8A" w:rsidRDefault="00DF2537" w:rsidP="00DF2537">
      <w:pPr>
        <w:spacing w:after="180" w:line="240" w:lineRule="auto"/>
        <w:jc w:val="left"/>
        <w:rPr>
          <w:rFonts w:eastAsia="Times New Roman"/>
          <w:b/>
          <w:iCs/>
          <w:szCs w:val="22"/>
          <w:lang w:val="en-US" w:eastAsia="en-GB"/>
        </w:rPr>
      </w:pPr>
    </w:p>
    <w:p w14:paraId="730A28D1" w14:textId="2312004F" w:rsidR="00A464BB" w:rsidRPr="003D1E8A" w:rsidRDefault="00F77A1C" w:rsidP="00DF2537">
      <w:pPr>
        <w:spacing w:after="180" w:line="240" w:lineRule="auto"/>
        <w:jc w:val="left"/>
        <w:rPr>
          <w:rFonts w:eastAsia="Times New Roman"/>
          <w:b/>
          <w:iCs/>
          <w:szCs w:val="22"/>
          <w:lang w:val="en-US" w:eastAsia="en-GB"/>
        </w:rPr>
      </w:pPr>
      <w:r w:rsidRPr="003D1E8A">
        <w:rPr>
          <w:rFonts w:eastAsia="Times New Roman"/>
          <w:b/>
          <w:iCs/>
          <w:szCs w:val="22"/>
          <w:lang w:val="en-US" w:eastAsia="en-GB"/>
        </w:rPr>
        <w:t>Agreements_RAN2#122</w:t>
      </w:r>
    </w:p>
    <w:p w14:paraId="48CD8764"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P3: The CHO execution conditions (for candidate PCells) and CPA/CPC execution conditions (for candidate PSCells) are provided based on the source MeasConfig.</w:t>
      </w:r>
    </w:p>
    <w:p w14:paraId="0FCFF40D"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P4: For CHO execution conditions, the source MN determines the execution conditions on candidate PCells, based on the source MCG MeasConfig.</w:t>
      </w:r>
    </w:p>
    <w:p w14:paraId="37D25FB4"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P5: For CPA/CPC execution conditions, the candidate MN determines the parameters of the execution conditions for candidate PSCells (e.g. event A4 threshold).</w:t>
      </w:r>
    </w:p>
    <w:p w14:paraId="1CAE5316"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66B62C89"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FFS how, if to support event A3/A5.</w:t>
      </w:r>
    </w:p>
    <w:p w14:paraId="75D770CA"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P8: For CHO with candidate SCGs for CPA/CPC, the RRCReconfigurtaion message in one CHO container includes one MCG configuration and one SCG configuration (i.e. similar to Rel-17 CHO with SCG configuration).</w:t>
      </w:r>
    </w:p>
    <w:p w14:paraId="650EDA3C"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P9: The execution conditions associated with one CHO container includes both CHO execution condition(s) and CPA/CPC execution condition(s), i.e. triggering conditions on both candidate PCell and candidate PSCell.</w:t>
      </w:r>
    </w:p>
    <w:p w14:paraId="05D71C86"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286DE34C"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 xml:space="preserve">P12: When the CPA/CPC execution condition is met but no CHO execution condition is met, the UE continues to evaluate both CHO and CPA/CPC execution conditions. </w:t>
      </w:r>
    </w:p>
    <w:p w14:paraId="1AB5B14E" w14:textId="77777777" w:rsidR="00DF2537" w:rsidRPr="003D1E8A" w:rsidRDefault="00DF2537" w:rsidP="00DF2537">
      <w:pPr>
        <w:pStyle w:val="Agreement"/>
        <w:tabs>
          <w:tab w:val="clear" w:pos="1440"/>
          <w:tab w:val="num" w:pos="1619"/>
        </w:tabs>
        <w:ind w:left="1619"/>
        <w:rPr>
          <w:sz w:val="22"/>
          <w:szCs w:val="22"/>
          <w:lang w:val="en-US"/>
        </w:rPr>
      </w:pPr>
      <w:r w:rsidRPr="003D1E8A">
        <w:rPr>
          <w:sz w:val="22"/>
          <w:szCs w:val="22"/>
          <w:lang w:val="en-US"/>
        </w:rPr>
        <w:t xml:space="preserve">For CHO+CPC we only consider execution when BOTH conditions are met. </w:t>
      </w:r>
    </w:p>
    <w:p w14:paraId="69719709" w14:textId="64F77154" w:rsidR="00DF2537" w:rsidRPr="003D1E8A" w:rsidRDefault="00DF2537" w:rsidP="00DF2537">
      <w:pPr>
        <w:pStyle w:val="Agreement"/>
        <w:numPr>
          <w:ilvl w:val="0"/>
          <w:numId w:val="0"/>
        </w:numPr>
        <w:ind w:left="1619"/>
        <w:rPr>
          <w:sz w:val="22"/>
          <w:szCs w:val="22"/>
          <w:lang w:val="en-US"/>
        </w:rPr>
      </w:pPr>
      <w:r w:rsidRPr="003D1E8A">
        <w:rPr>
          <w:sz w:val="22"/>
          <w:szCs w:val="22"/>
          <w:lang w:val="en-US"/>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4B5458D5" w14:textId="77777777" w:rsidR="00C94295" w:rsidRPr="003D1E8A" w:rsidRDefault="00C94295" w:rsidP="00C94295">
      <w:pPr>
        <w:pStyle w:val="Doc-text2"/>
        <w:rPr>
          <w:sz w:val="22"/>
          <w:szCs w:val="22"/>
        </w:rPr>
      </w:pPr>
    </w:p>
    <w:p w14:paraId="2DC411ED" w14:textId="7D00EA28" w:rsidR="00DB51CA" w:rsidRPr="003D1E8A" w:rsidRDefault="003D1E8A" w:rsidP="00140B1F">
      <w:pPr>
        <w:rPr>
          <w:szCs w:val="22"/>
        </w:rPr>
      </w:pPr>
      <w:r w:rsidRPr="003D1E8A">
        <w:rPr>
          <w:szCs w:val="22"/>
        </w:rPr>
        <w:t>I</w:t>
      </w:r>
      <w:r w:rsidRPr="003D1E8A">
        <w:rPr>
          <w:rFonts w:hint="eastAsia"/>
          <w:szCs w:val="22"/>
        </w:rPr>
        <w:t>n</w:t>
      </w:r>
      <w:r w:rsidRPr="003D1E8A">
        <w:rPr>
          <w:szCs w:val="22"/>
        </w:rPr>
        <w:t xml:space="preserve"> </w:t>
      </w:r>
      <w:r w:rsidRPr="003D1E8A">
        <w:rPr>
          <w:rFonts w:hint="eastAsia"/>
          <w:szCs w:val="22"/>
        </w:rPr>
        <w:t>the</w:t>
      </w:r>
      <w:r w:rsidRPr="003D1E8A">
        <w:rPr>
          <w:szCs w:val="22"/>
        </w:rPr>
        <w:t xml:space="preserve"> 37.340 running CR [7], C</w:t>
      </w:r>
      <w:r w:rsidRPr="003D1E8A">
        <w:rPr>
          <w:rFonts w:hint="eastAsia"/>
          <w:szCs w:val="22"/>
          <w:lang w:val="en-US"/>
        </w:rPr>
        <w:t>HO with candidate SCG</w:t>
      </w:r>
      <w:r w:rsidRPr="003D1E8A">
        <w:rPr>
          <w:szCs w:val="22"/>
          <w:lang w:val="en-US"/>
        </w:rPr>
        <w:t xml:space="preserve">(s) is defined for </w:t>
      </w:r>
      <w:r w:rsidRPr="003D1E8A">
        <w:rPr>
          <w:rFonts w:eastAsia="PMingLiU"/>
          <w:bCs/>
          <w:szCs w:val="22"/>
          <w:lang w:val="en-US" w:eastAsia="en-GB"/>
        </w:rPr>
        <w:t>CHO including target MCG and candidate SCGs for CPC/CPA in NR-DC</w:t>
      </w:r>
      <w:r w:rsidRPr="003D1E8A">
        <w:rPr>
          <w:rFonts w:asciiTheme="minorEastAsia" w:eastAsiaTheme="minorEastAsia" w:hAnsiTheme="minorEastAsia" w:hint="eastAsia"/>
          <w:bCs/>
          <w:szCs w:val="22"/>
          <w:lang w:val="en-US"/>
        </w:rPr>
        <w:t>.</w:t>
      </w:r>
      <w:r w:rsidRPr="003D1E8A">
        <w:rPr>
          <w:szCs w:val="22"/>
        </w:rPr>
        <w:t xml:space="preserve"> </w:t>
      </w:r>
      <w:r w:rsidR="00454E40" w:rsidRPr="003D1E8A">
        <w:rPr>
          <w:szCs w:val="22"/>
        </w:rPr>
        <w:t>In this contribution, we provide our understandings on</w:t>
      </w:r>
      <w:r w:rsidR="00361937" w:rsidRPr="003D1E8A">
        <w:rPr>
          <w:szCs w:val="22"/>
        </w:rPr>
        <w:t xml:space="preserve"> </w:t>
      </w:r>
      <w:r w:rsidR="002B6DE0" w:rsidRPr="003D1E8A">
        <w:rPr>
          <w:rFonts w:eastAsia="PMingLiU"/>
          <w:bCs/>
          <w:szCs w:val="22"/>
          <w:lang w:val="en-US" w:eastAsia="en-GB"/>
        </w:rPr>
        <w:t xml:space="preserve">CHO with </w:t>
      </w:r>
      <w:r w:rsidR="005167A5" w:rsidRPr="003D1E8A">
        <w:rPr>
          <w:rFonts w:eastAsia="PMingLiU"/>
          <w:bCs/>
          <w:szCs w:val="22"/>
          <w:lang w:val="en-US" w:eastAsia="en-GB"/>
        </w:rPr>
        <w:t>candidate SCG(s)</w:t>
      </w:r>
      <w:r w:rsidR="00EF72B0" w:rsidRPr="003D1E8A">
        <w:rPr>
          <w:rFonts w:eastAsia="PMingLiU"/>
          <w:bCs/>
          <w:szCs w:val="22"/>
          <w:lang w:val="en-US" w:eastAsia="en-GB"/>
        </w:rPr>
        <w:t xml:space="preserve"> in NR-DC</w:t>
      </w:r>
      <w:r w:rsidR="00112269" w:rsidRPr="003D1E8A">
        <w:rPr>
          <w:szCs w:val="22"/>
        </w:rPr>
        <w:t xml:space="preserve">. </w:t>
      </w:r>
    </w:p>
    <w:p w14:paraId="4EB82A92" w14:textId="43B7DC6D" w:rsidR="003E27E3" w:rsidRDefault="00DA44DE" w:rsidP="003E27E3">
      <w:pPr>
        <w:pStyle w:val="1"/>
        <w:tabs>
          <w:tab w:val="left" w:pos="432"/>
        </w:tabs>
        <w:jc w:val="left"/>
      </w:pPr>
      <w:r>
        <w:rPr>
          <w:rFonts w:hint="eastAsia"/>
        </w:rPr>
        <w:lastRenderedPageBreak/>
        <w:t>Discussion</w:t>
      </w:r>
    </w:p>
    <w:p w14:paraId="1C5639F9" w14:textId="5564B293" w:rsidR="003E27E3" w:rsidRDefault="009A7E73" w:rsidP="0009235F">
      <w:pPr>
        <w:pStyle w:val="2"/>
        <w:keepLines w:val="0"/>
        <w:tabs>
          <w:tab w:val="clear" w:pos="1002"/>
          <w:tab w:val="num" w:pos="576"/>
        </w:tabs>
        <w:spacing w:line="240" w:lineRule="auto"/>
        <w:ind w:left="0" w:firstLine="0"/>
        <w:jc w:val="left"/>
        <w:rPr>
          <w:lang w:eastAsia="zh-CN"/>
        </w:rPr>
      </w:pPr>
      <w:r>
        <w:rPr>
          <w:lang w:eastAsia="zh-CN"/>
        </w:rPr>
        <w:t>P</w:t>
      </w:r>
      <w:r w:rsidR="003A082D">
        <w:rPr>
          <w:rFonts w:hint="eastAsia"/>
          <w:lang w:eastAsia="zh-CN"/>
        </w:rPr>
        <w:t>reparation</w:t>
      </w:r>
      <w:r w:rsidR="003A082D">
        <w:rPr>
          <w:lang w:eastAsia="zh-CN"/>
        </w:rPr>
        <w:t xml:space="preserve"> </w:t>
      </w:r>
      <w:r>
        <w:rPr>
          <w:lang w:eastAsia="zh-CN"/>
        </w:rPr>
        <w:t>for</w:t>
      </w:r>
      <w:r w:rsidR="003E571A">
        <w:rPr>
          <w:lang w:eastAsia="zh-CN"/>
        </w:rPr>
        <w:t xml:space="preserve"> </w:t>
      </w:r>
      <w:r w:rsidR="003E571A">
        <w:rPr>
          <w:rFonts w:hint="eastAsia"/>
          <w:lang w:eastAsia="zh-CN"/>
        </w:rPr>
        <w:t>CHO</w:t>
      </w:r>
      <w:r w:rsidR="003E571A">
        <w:rPr>
          <w:lang w:eastAsia="zh-CN"/>
        </w:rPr>
        <w:t xml:space="preserve"> </w:t>
      </w:r>
      <w:r w:rsidR="003E571A">
        <w:rPr>
          <w:rFonts w:hint="eastAsia"/>
          <w:lang w:eastAsia="zh-CN"/>
        </w:rPr>
        <w:t>with</w:t>
      </w:r>
      <w:r w:rsidR="003E571A">
        <w:rPr>
          <w:lang w:eastAsia="zh-CN"/>
        </w:rPr>
        <w:t xml:space="preserve"> </w:t>
      </w:r>
      <w:r w:rsidR="003E571A">
        <w:rPr>
          <w:rFonts w:hint="eastAsia"/>
          <w:lang w:eastAsia="zh-CN"/>
        </w:rPr>
        <w:t>candidate</w:t>
      </w:r>
      <w:r w:rsidR="003E571A">
        <w:rPr>
          <w:lang w:eastAsia="zh-CN"/>
        </w:rPr>
        <w:t xml:space="preserve"> </w:t>
      </w:r>
      <w:r w:rsidR="003E571A">
        <w:rPr>
          <w:rFonts w:hint="eastAsia"/>
          <w:lang w:eastAsia="zh-CN"/>
        </w:rPr>
        <w:t>SCG</w:t>
      </w:r>
      <w:r w:rsidR="003E571A">
        <w:rPr>
          <w:lang w:eastAsia="zh-CN"/>
        </w:rPr>
        <w:t>(s)</w:t>
      </w:r>
    </w:p>
    <w:p w14:paraId="6487BCF2" w14:textId="4468096E" w:rsidR="003E27E3" w:rsidRPr="003D1E8A" w:rsidRDefault="000665D3" w:rsidP="001E730E">
      <w:r w:rsidRPr="003D1E8A">
        <w:t xml:space="preserve">In </w:t>
      </w:r>
      <w:r w:rsidR="006F5865" w:rsidRPr="003D1E8A">
        <w:t>Rel-16 and Rel-17</w:t>
      </w:r>
      <w:r w:rsidR="003E27E3" w:rsidRPr="003D1E8A">
        <w:t>, CHO, CPA, intra-SN CPC, and inter-SN CPC including both MN</w:t>
      </w:r>
      <w:r w:rsidR="0043269A" w:rsidRPr="003D1E8A">
        <w:t>/</w:t>
      </w:r>
      <w:r w:rsidR="00FD1D2F" w:rsidRPr="003D1E8A">
        <w:t>SN initiated</w:t>
      </w:r>
      <w:r w:rsidR="003E27E3" w:rsidRPr="003D1E8A">
        <w:t xml:space="preserve"> are supported in</w:t>
      </w:r>
      <w:r w:rsidR="00A2100D" w:rsidRPr="003D1E8A">
        <w:t xml:space="preserve"> the</w:t>
      </w:r>
      <w:r w:rsidR="0043269A" w:rsidRPr="003D1E8A">
        <w:t xml:space="preserve"> current specification. </w:t>
      </w:r>
      <w:r w:rsidR="003E27E3" w:rsidRPr="003D1E8A">
        <w:t xml:space="preserve">To support the configuration of </w:t>
      </w:r>
      <w:r w:rsidR="003E27E3" w:rsidRPr="003D1E8A">
        <w:rPr>
          <w:bCs/>
        </w:rPr>
        <w:t>CHO and MR-DC simultaneously with good throughput, objective 4 of CHO including target MCG and multiple candidate SCGs for CPC/CPA</w:t>
      </w:r>
      <w:r w:rsidR="00DA158F" w:rsidRPr="003D1E8A">
        <w:rPr>
          <w:bCs/>
        </w:rPr>
        <w:t xml:space="preserve"> has</w:t>
      </w:r>
      <w:r w:rsidR="003E27E3" w:rsidRPr="003D1E8A">
        <w:rPr>
          <w:bCs/>
        </w:rPr>
        <w:t xml:space="preserve"> be</w:t>
      </w:r>
      <w:r w:rsidR="00DA158F" w:rsidRPr="003D1E8A">
        <w:rPr>
          <w:bCs/>
        </w:rPr>
        <w:t>en</w:t>
      </w:r>
      <w:r w:rsidR="003E27E3" w:rsidRPr="003D1E8A">
        <w:rPr>
          <w:bCs/>
        </w:rPr>
        <w:t xml:space="preserve"> discussed in Rel-18. For the flexibility of CHO with CPC/CPA, CHO combined with all CPA and CPC </w:t>
      </w:r>
      <w:r w:rsidR="003E27E3" w:rsidRPr="003D1E8A">
        <w:t>scenarios can be considered,</w:t>
      </w:r>
      <w:r w:rsidR="002D6958" w:rsidRPr="003D1E8A">
        <w:t xml:space="preserve"> including CHO with </w:t>
      </w:r>
      <w:r w:rsidR="003E571A" w:rsidRPr="003D1E8A">
        <w:t>candidate SCG(s) for CPA and CHO candidate SCG(s) for MN/SN initiated CPC (including both intra-SN and inter-SN CPC)</w:t>
      </w:r>
    </w:p>
    <w:p w14:paraId="2C5D5B70" w14:textId="60A2F149" w:rsidR="00A82465" w:rsidRPr="003D1E8A" w:rsidRDefault="00A82465" w:rsidP="001E730E">
      <w:r w:rsidRPr="003D1E8A">
        <w:t xml:space="preserve">In current spec, for SN initiated intra-SN CPC, MN involvement is not needed. However, to support CHO with </w:t>
      </w:r>
      <w:r w:rsidR="003E571A" w:rsidRPr="003D1E8A">
        <w:t>candidate SCG(s) for CPC</w:t>
      </w:r>
      <w:r w:rsidRPr="003D1E8A">
        <w:t xml:space="preserve">, CPC without MN involvement is impossible because of the association between CHO and CPC. And MN need to know whether </w:t>
      </w:r>
      <w:r w:rsidR="005640DD" w:rsidRPr="003D1E8A">
        <w:t xml:space="preserve">the </w:t>
      </w:r>
      <w:r w:rsidRPr="003D1E8A">
        <w:t>CHO is configured with PSCell change, even though it is intra-SN PSCell change.</w:t>
      </w:r>
    </w:p>
    <w:p w14:paraId="0269B54F" w14:textId="2CE28C17" w:rsidR="00A82465" w:rsidRPr="003D1E8A" w:rsidRDefault="00A82465" w:rsidP="001E730E">
      <w:pPr>
        <w:rPr>
          <w:b/>
        </w:rPr>
      </w:pPr>
      <w:r w:rsidRPr="003D1E8A">
        <w:rPr>
          <w:b/>
        </w:rPr>
        <w:t xml:space="preserve">Observation 1: </w:t>
      </w:r>
      <w:r w:rsidR="003E571A" w:rsidRPr="003D1E8A">
        <w:rPr>
          <w:b/>
        </w:rPr>
        <w:t>MN involvement is always</w:t>
      </w:r>
      <w:r w:rsidRPr="003D1E8A">
        <w:rPr>
          <w:b/>
        </w:rPr>
        <w:t xml:space="preserve"> needed</w:t>
      </w:r>
      <w:r w:rsidR="003D1E8A">
        <w:rPr>
          <w:b/>
        </w:rPr>
        <w:t xml:space="preserve"> </w:t>
      </w:r>
      <w:r w:rsidR="003D1E8A">
        <w:rPr>
          <w:rFonts w:hint="eastAsia"/>
          <w:b/>
        </w:rPr>
        <w:t>to</w:t>
      </w:r>
      <w:r w:rsidR="003D1E8A">
        <w:rPr>
          <w:b/>
        </w:rPr>
        <w:t xml:space="preserve"> </w:t>
      </w:r>
      <w:r w:rsidR="003D1E8A" w:rsidRPr="003D1E8A">
        <w:rPr>
          <w:b/>
        </w:rPr>
        <w:t>support CHO with c</w:t>
      </w:r>
      <w:r w:rsidR="003D1E8A">
        <w:rPr>
          <w:b/>
        </w:rPr>
        <w:t>andidate SCG(s) for CPA and CPC</w:t>
      </w:r>
      <w:r w:rsidRPr="003D1E8A">
        <w:rPr>
          <w:b/>
        </w:rPr>
        <w:t>.</w:t>
      </w:r>
    </w:p>
    <w:p w14:paraId="04D777E6" w14:textId="5FB0273C" w:rsidR="00A26F88" w:rsidRPr="003D1E8A" w:rsidRDefault="00874B3B" w:rsidP="001E730E">
      <w:r w:rsidRPr="003D1E8A">
        <w:t>For the preparation of Rel-18 CHO with candidate SCG(s), it is nature the source MN initiates the preparation of CHO and decides the candidate PCells and the associated CHO conditions.</w:t>
      </w:r>
      <w:r w:rsidR="00AD573F" w:rsidRPr="003D1E8A">
        <w:t xml:space="preserve"> However, whether </w:t>
      </w:r>
      <w:r w:rsidR="00E3564D" w:rsidRPr="003D1E8A">
        <w:t xml:space="preserve">and which </w:t>
      </w:r>
      <w:r w:rsidR="00AD573F" w:rsidRPr="003D1E8A">
        <w:t>candidate SCG(s) for CPA/CPC is needed or not can depends on the source MN, or the candidate MN, or the source SN, if configured. RAN2 should discuss which nodes can initiate the CPAC for CHO with candidate SCG(s).</w:t>
      </w:r>
      <w:r w:rsidR="00804261">
        <w:t xml:space="preserve"> The following case</w:t>
      </w:r>
      <w:r w:rsidR="00A26F88" w:rsidRPr="003D1E8A">
        <w:t>s can be considered for the preparation of the R18 CHO with candidate SCG(s).</w:t>
      </w:r>
    </w:p>
    <w:p w14:paraId="591F63A2" w14:textId="20CBD705" w:rsidR="00A26F88" w:rsidRPr="003D1E8A" w:rsidRDefault="00804261" w:rsidP="001E730E">
      <w:pPr>
        <w:pStyle w:val="af6"/>
        <w:numPr>
          <w:ilvl w:val="0"/>
          <w:numId w:val="44"/>
        </w:numPr>
        <w:spacing w:after="120" w:line="288" w:lineRule="auto"/>
        <w:ind w:firstLineChars="0"/>
        <w:rPr>
          <w:sz w:val="22"/>
          <w:szCs w:val="20"/>
        </w:rPr>
      </w:pPr>
      <w:r>
        <w:rPr>
          <w:sz w:val="22"/>
          <w:szCs w:val="20"/>
        </w:rPr>
        <w:t>Case</w:t>
      </w:r>
      <w:r w:rsidR="00A26F88" w:rsidRPr="003D1E8A">
        <w:rPr>
          <w:sz w:val="22"/>
          <w:szCs w:val="20"/>
        </w:rPr>
        <w:t xml:space="preserve"> 1: the MN initiates CHO and the MN</w:t>
      </w:r>
      <w:r w:rsidR="004B523D" w:rsidRPr="003D1E8A">
        <w:rPr>
          <w:sz w:val="22"/>
          <w:szCs w:val="20"/>
        </w:rPr>
        <w:t xml:space="preserve"> </w:t>
      </w:r>
      <w:r w:rsidR="00A26F88" w:rsidRPr="003D1E8A">
        <w:rPr>
          <w:sz w:val="22"/>
          <w:szCs w:val="20"/>
        </w:rPr>
        <w:t>initiates associated CPAC</w:t>
      </w:r>
    </w:p>
    <w:p w14:paraId="123CE73B" w14:textId="4CA8244F" w:rsidR="00874B3B" w:rsidRPr="003D1E8A" w:rsidRDefault="00804261" w:rsidP="001E730E">
      <w:pPr>
        <w:pStyle w:val="af6"/>
        <w:numPr>
          <w:ilvl w:val="0"/>
          <w:numId w:val="44"/>
        </w:numPr>
        <w:spacing w:after="120" w:line="288" w:lineRule="auto"/>
        <w:ind w:firstLineChars="0"/>
        <w:rPr>
          <w:sz w:val="22"/>
          <w:szCs w:val="20"/>
        </w:rPr>
      </w:pPr>
      <w:r>
        <w:rPr>
          <w:sz w:val="22"/>
          <w:szCs w:val="20"/>
        </w:rPr>
        <w:t>Case</w:t>
      </w:r>
      <w:r w:rsidR="004B523D" w:rsidRPr="003D1E8A">
        <w:rPr>
          <w:sz w:val="22"/>
          <w:szCs w:val="20"/>
        </w:rPr>
        <w:t xml:space="preserve"> 2</w:t>
      </w:r>
      <w:r w:rsidR="00A26F88" w:rsidRPr="003D1E8A">
        <w:rPr>
          <w:sz w:val="22"/>
          <w:szCs w:val="20"/>
        </w:rPr>
        <w:t>: the MN initiates CHO and the SN initiates associated CPAC</w:t>
      </w:r>
    </w:p>
    <w:p w14:paraId="73C6822D" w14:textId="2359AC10" w:rsidR="00E3564D" w:rsidRPr="003D1E8A" w:rsidRDefault="00802284" w:rsidP="001E730E">
      <w:r w:rsidRPr="003D1E8A">
        <w:t xml:space="preserve">For </w:t>
      </w:r>
      <w:r w:rsidR="00804261">
        <w:t>Case</w:t>
      </w:r>
      <w:r w:rsidR="00A26F88" w:rsidRPr="003D1E8A">
        <w:t xml:space="preserve"> 1</w:t>
      </w:r>
      <w:r w:rsidR="00E3564D" w:rsidRPr="003D1E8A">
        <w:t>, the following principle can be considered:</w:t>
      </w:r>
    </w:p>
    <w:p w14:paraId="4D51BD7B" w14:textId="26B787AF" w:rsidR="004B523D" w:rsidRPr="003D1E8A" w:rsidRDefault="004B523D" w:rsidP="001E730E">
      <w:pPr>
        <w:pStyle w:val="af6"/>
        <w:numPr>
          <w:ilvl w:val="0"/>
          <w:numId w:val="44"/>
        </w:numPr>
        <w:spacing w:after="120" w:line="288" w:lineRule="auto"/>
        <w:ind w:firstLineChars="0"/>
        <w:rPr>
          <w:sz w:val="22"/>
          <w:szCs w:val="20"/>
        </w:rPr>
      </w:pPr>
      <w:r w:rsidRPr="003D1E8A">
        <w:rPr>
          <w:sz w:val="22"/>
          <w:szCs w:val="20"/>
        </w:rPr>
        <w:t>The source MN can initiate the preparation of the R18 CHO with candidate SCG(s)</w:t>
      </w:r>
      <w:r w:rsidRPr="003D1E8A">
        <w:rPr>
          <w:rFonts w:eastAsiaTheme="minorEastAsia"/>
          <w:sz w:val="22"/>
          <w:szCs w:val="20"/>
          <w:lang w:eastAsia="zh-CN"/>
        </w:rPr>
        <w:t>.</w:t>
      </w:r>
    </w:p>
    <w:p w14:paraId="29DC5A3A" w14:textId="31A6A668" w:rsidR="00AD573F" w:rsidRPr="003D1E8A" w:rsidRDefault="00E3564D" w:rsidP="001E730E">
      <w:pPr>
        <w:pStyle w:val="af6"/>
        <w:numPr>
          <w:ilvl w:val="0"/>
          <w:numId w:val="44"/>
        </w:numPr>
        <w:spacing w:after="120" w:line="288" w:lineRule="auto"/>
        <w:ind w:firstLineChars="0"/>
        <w:rPr>
          <w:sz w:val="22"/>
          <w:szCs w:val="20"/>
        </w:rPr>
      </w:pPr>
      <w:r w:rsidRPr="003D1E8A">
        <w:rPr>
          <w:sz w:val="22"/>
          <w:szCs w:val="20"/>
        </w:rPr>
        <w:t>The parameters of the CPAC conditions is dete</w:t>
      </w:r>
      <w:r w:rsidR="00804261">
        <w:rPr>
          <w:sz w:val="22"/>
          <w:szCs w:val="20"/>
        </w:rPr>
        <w:t>rmined by the candidate MN and a</w:t>
      </w:r>
      <w:r w:rsidRPr="003D1E8A">
        <w:rPr>
          <w:sz w:val="22"/>
          <w:szCs w:val="20"/>
        </w:rPr>
        <w:t xml:space="preserve">ccording to the received information from the candidate MN, the source MN generates the corresponding execution conditions based on the source MCG </w:t>
      </w:r>
      <w:r w:rsidRPr="003D1E8A">
        <w:rPr>
          <w:i/>
          <w:sz w:val="22"/>
          <w:szCs w:val="20"/>
        </w:rPr>
        <w:t>MeasConfig</w:t>
      </w:r>
      <w:r w:rsidRPr="003D1E8A">
        <w:rPr>
          <w:sz w:val="22"/>
          <w:szCs w:val="20"/>
        </w:rPr>
        <w:t xml:space="preserve"> to the UE, which has been agreed in RAN2#122</w:t>
      </w:r>
      <w:r w:rsidR="00804261">
        <w:rPr>
          <w:sz w:val="22"/>
          <w:szCs w:val="20"/>
        </w:rPr>
        <w:t>[6]</w:t>
      </w:r>
      <w:r w:rsidR="004B523D" w:rsidRPr="003D1E8A">
        <w:rPr>
          <w:sz w:val="22"/>
          <w:szCs w:val="20"/>
        </w:rPr>
        <w:t>.</w:t>
      </w:r>
    </w:p>
    <w:p w14:paraId="4063B3CA" w14:textId="6188C9D4" w:rsidR="004B523D" w:rsidRPr="003D1E8A" w:rsidRDefault="00E3564D" w:rsidP="001E730E">
      <w:pPr>
        <w:pStyle w:val="af6"/>
        <w:numPr>
          <w:ilvl w:val="0"/>
          <w:numId w:val="44"/>
        </w:numPr>
        <w:spacing w:after="120" w:line="288" w:lineRule="auto"/>
        <w:ind w:firstLineChars="0"/>
        <w:rPr>
          <w:sz w:val="22"/>
          <w:szCs w:val="20"/>
        </w:rPr>
      </w:pPr>
      <w:r w:rsidRPr="003D1E8A">
        <w:rPr>
          <w:sz w:val="22"/>
          <w:szCs w:val="20"/>
        </w:rPr>
        <w:t>The candidate MN recommends the candidate PSCells to the candidate SN</w:t>
      </w:r>
      <w:r w:rsidR="004B523D" w:rsidRPr="003D1E8A">
        <w:rPr>
          <w:sz w:val="22"/>
          <w:szCs w:val="20"/>
        </w:rPr>
        <w:t>.</w:t>
      </w:r>
    </w:p>
    <w:p w14:paraId="4BA1D659" w14:textId="4995F09C" w:rsidR="004B523D" w:rsidRPr="003D1E8A" w:rsidRDefault="00AD7FB2" w:rsidP="003D1E8A">
      <w:pPr>
        <w:rPr>
          <w:b/>
        </w:rPr>
      </w:pPr>
      <w:r w:rsidRPr="003D1E8A">
        <w:rPr>
          <w:b/>
        </w:rPr>
        <w:t>Proposal 1</w:t>
      </w:r>
      <w:r w:rsidR="004B523D" w:rsidRPr="003D1E8A">
        <w:rPr>
          <w:b/>
        </w:rPr>
        <w:t>: The source MN can initiate the preparation of the R</w:t>
      </w:r>
      <w:r w:rsidR="003D1E8A">
        <w:rPr>
          <w:rFonts w:hint="eastAsia"/>
          <w:b/>
        </w:rPr>
        <w:t>el-</w:t>
      </w:r>
      <w:r w:rsidR="004B523D" w:rsidRPr="003D1E8A">
        <w:rPr>
          <w:b/>
        </w:rPr>
        <w:t>18 CHO with candidate SCG(s)</w:t>
      </w:r>
      <w:r w:rsidR="003D1E8A">
        <w:rPr>
          <w:b/>
        </w:rPr>
        <w:t>.</w:t>
      </w:r>
    </w:p>
    <w:p w14:paraId="0E6C220A" w14:textId="2DAA9BA6" w:rsidR="00F77A1C" w:rsidRPr="003D1E8A" w:rsidRDefault="00532537" w:rsidP="003D1E8A">
      <w:pPr>
        <w:rPr>
          <w:b/>
        </w:rPr>
      </w:pPr>
      <w:r w:rsidRPr="003D1E8A">
        <w:rPr>
          <w:b/>
        </w:rPr>
        <w:t>Proposal 2: For Rel-18 CHO with candidate SCG</w:t>
      </w:r>
      <w:r w:rsidR="003D1E8A">
        <w:rPr>
          <w:rFonts w:hint="eastAsia"/>
          <w:b/>
        </w:rPr>
        <w:t>(</w:t>
      </w:r>
      <w:r w:rsidRPr="003D1E8A">
        <w:rPr>
          <w:b/>
        </w:rPr>
        <w:t>s</w:t>
      </w:r>
      <w:r w:rsidR="003D1E8A">
        <w:rPr>
          <w:b/>
        </w:rPr>
        <w:t>)</w:t>
      </w:r>
      <w:r w:rsidRPr="003D1E8A">
        <w:rPr>
          <w:b/>
        </w:rPr>
        <w:t>, the candidate MN can recommend the candidate PSCells to candidate SN.</w:t>
      </w:r>
    </w:p>
    <w:p w14:paraId="68D10DA4" w14:textId="73304313" w:rsidR="008671A1" w:rsidRPr="003D1E8A" w:rsidRDefault="00F77A1C" w:rsidP="003D1E8A">
      <w:r w:rsidRPr="003D1E8A">
        <w:t xml:space="preserve">However, </w:t>
      </w:r>
      <w:r w:rsidR="0026394D" w:rsidRPr="003D1E8A">
        <w:t xml:space="preserve">MN initiated CPC can only be configured for load balance with event A4. For better coverage, </w:t>
      </w:r>
      <w:r w:rsidR="004B523D" w:rsidRPr="003D1E8A">
        <w:t>option 2</w:t>
      </w:r>
      <w:r w:rsidR="001D6600" w:rsidRPr="003D1E8A">
        <w:t xml:space="preserve"> is needed to support </w:t>
      </w:r>
      <w:r w:rsidR="0026394D" w:rsidRPr="003D1E8A">
        <w:t xml:space="preserve">CHO with </w:t>
      </w:r>
      <w:r w:rsidR="004B523D" w:rsidRPr="003D1E8A">
        <w:t xml:space="preserve">candidate SCG(s) for </w:t>
      </w:r>
      <w:r w:rsidR="0026394D" w:rsidRPr="003D1E8A">
        <w:t>SN initiated CPC</w:t>
      </w:r>
      <w:r w:rsidR="001D6600" w:rsidRPr="003D1E8A">
        <w:t xml:space="preserve">, which can be configured with </w:t>
      </w:r>
      <w:r w:rsidR="005849FC">
        <w:t>CondE</w:t>
      </w:r>
      <w:r w:rsidR="001D6600" w:rsidRPr="003D1E8A">
        <w:t>vent A3/A5 for PSCell change.</w:t>
      </w:r>
      <w:r w:rsidR="00AD7FB2" w:rsidRPr="003D1E8A">
        <w:t xml:space="preserve"> And the source SN can generate the A3/A5 based CPC conditions for candidate PSCells, based on the source SCG </w:t>
      </w:r>
      <w:r w:rsidR="00AD7FB2" w:rsidRPr="003D1E8A">
        <w:rPr>
          <w:i/>
        </w:rPr>
        <w:t>MeasConfig</w:t>
      </w:r>
      <w:r w:rsidR="00AD7FB2" w:rsidRPr="003D1E8A">
        <w:t>.</w:t>
      </w:r>
    </w:p>
    <w:p w14:paraId="7D496A9B" w14:textId="63ADFF35" w:rsidR="004B523D" w:rsidRPr="003D1E8A" w:rsidRDefault="004B523D" w:rsidP="003D1E8A">
      <w:r w:rsidRPr="003D1E8A">
        <w:t xml:space="preserve">For CHO with candidate SCG(s) for SN initiated CPC, the source SN can recommend the candidate PSCells to candidate SN. </w:t>
      </w:r>
      <w:r w:rsidR="00DA395A">
        <w:t xml:space="preserve">A list of </w:t>
      </w:r>
      <w:r w:rsidR="001E730E" w:rsidRPr="003D1E8A">
        <w:t>PSCell candidates recommended by the source SN can be transmitted in the following path: “the source SN -&gt; the source MN -&gt; the candidate MN -&gt; the candidate SN”</w:t>
      </w:r>
    </w:p>
    <w:p w14:paraId="263E6E9A" w14:textId="3163EE86" w:rsidR="00F77A1C" w:rsidRPr="003D1E8A" w:rsidRDefault="00532537" w:rsidP="003D1E8A">
      <w:pPr>
        <w:rPr>
          <w:b/>
        </w:rPr>
      </w:pPr>
      <w:r w:rsidRPr="003D1E8A">
        <w:rPr>
          <w:b/>
        </w:rPr>
        <w:lastRenderedPageBreak/>
        <w:t xml:space="preserve">Proposal </w:t>
      </w:r>
      <w:r w:rsidR="00F77A1C" w:rsidRPr="003D1E8A">
        <w:rPr>
          <w:b/>
        </w:rPr>
        <w:t xml:space="preserve">3: CHO with candidate SCG(s) for SN initiated CPC can be considered </w:t>
      </w:r>
      <w:r w:rsidR="003D1E8A">
        <w:rPr>
          <w:b/>
        </w:rPr>
        <w:t>in Rel-18. C</w:t>
      </w:r>
      <w:r w:rsidR="00F77A1C" w:rsidRPr="003D1E8A">
        <w:rPr>
          <w:b/>
        </w:rPr>
        <w:t>o</w:t>
      </w:r>
      <w:r w:rsidR="003D1E8A">
        <w:rPr>
          <w:b/>
        </w:rPr>
        <w:t>ndEventA3/</w:t>
      </w:r>
      <w:r w:rsidR="00AD7FB2" w:rsidRPr="003D1E8A">
        <w:rPr>
          <w:b/>
        </w:rPr>
        <w:t xml:space="preserve">A5 </w:t>
      </w:r>
      <w:r w:rsidR="003D1E8A">
        <w:rPr>
          <w:b/>
        </w:rPr>
        <w:t>can be configured</w:t>
      </w:r>
      <w:r w:rsidR="003D1E8A" w:rsidRPr="003D1E8A">
        <w:rPr>
          <w:b/>
        </w:rPr>
        <w:t xml:space="preserve"> </w:t>
      </w:r>
      <w:r w:rsidR="00AD7FB2" w:rsidRPr="003D1E8A">
        <w:rPr>
          <w:b/>
        </w:rPr>
        <w:t>for the CPC conditions on</w:t>
      </w:r>
      <w:r w:rsidR="00F77A1C" w:rsidRPr="003D1E8A">
        <w:rPr>
          <w:b/>
        </w:rPr>
        <w:t xml:space="preserve"> candidate</w:t>
      </w:r>
      <w:r w:rsidR="003D1E8A">
        <w:rPr>
          <w:b/>
        </w:rPr>
        <w:t xml:space="preserve"> PSCells in CHO with candidate SCG(s) and t</w:t>
      </w:r>
      <w:r w:rsidR="00AD7FB2" w:rsidRPr="003D1E8A">
        <w:rPr>
          <w:b/>
        </w:rPr>
        <w:t xml:space="preserve">he source </w:t>
      </w:r>
      <w:r w:rsidR="003D1E8A">
        <w:rPr>
          <w:b/>
        </w:rPr>
        <w:t>SN</w:t>
      </w:r>
      <w:r w:rsidR="00AD7FB2" w:rsidRPr="003D1E8A">
        <w:rPr>
          <w:b/>
        </w:rPr>
        <w:t xml:space="preserve"> </w:t>
      </w:r>
      <w:r w:rsidR="00F77A1C" w:rsidRPr="003D1E8A">
        <w:rPr>
          <w:b/>
        </w:rPr>
        <w:t>generate</w:t>
      </w:r>
      <w:r w:rsidR="00AD7FB2" w:rsidRPr="003D1E8A">
        <w:rPr>
          <w:b/>
        </w:rPr>
        <w:t>s</w:t>
      </w:r>
      <w:r w:rsidR="00F77A1C" w:rsidRPr="003D1E8A">
        <w:rPr>
          <w:b/>
        </w:rPr>
        <w:t xml:space="preserve"> the</w:t>
      </w:r>
      <w:r w:rsidR="00AD7FB2" w:rsidRPr="003D1E8A">
        <w:rPr>
          <w:b/>
        </w:rPr>
        <w:t xml:space="preserve"> A3/A5 based</w:t>
      </w:r>
      <w:r w:rsidR="00F77A1C" w:rsidRPr="003D1E8A">
        <w:rPr>
          <w:b/>
        </w:rPr>
        <w:t xml:space="preserve"> co</w:t>
      </w:r>
      <w:r w:rsidR="00AD7FB2" w:rsidRPr="003D1E8A">
        <w:rPr>
          <w:b/>
        </w:rPr>
        <w:t xml:space="preserve">nditions </w:t>
      </w:r>
      <w:r w:rsidR="00F77A1C" w:rsidRPr="003D1E8A">
        <w:rPr>
          <w:b/>
        </w:rPr>
        <w:t>based o</w:t>
      </w:r>
      <w:r w:rsidR="00AD7FB2" w:rsidRPr="003D1E8A">
        <w:rPr>
          <w:b/>
        </w:rPr>
        <w:t>n</w:t>
      </w:r>
      <w:r w:rsidR="00DA395A">
        <w:rPr>
          <w:b/>
        </w:rPr>
        <w:t xml:space="preserve"> the source</w:t>
      </w:r>
      <w:r w:rsidR="00AD7FB2" w:rsidRPr="003D1E8A">
        <w:rPr>
          <w:b/>
        </w:rPr>
        <w:t xml:space="preserve"> SCG </w:t>
      </w:r>
      <w:r w:rsidR="00AD7FB2" w:rsidRPr="003D1E8A">
        <w:rPr>
          <w:b/>
          <w:i/>
        </w:rPr>
        <w:t>MeasConfig</w:t>
      </w:r>
      <w:r w:rsidR="00AD7FB2" w:rsidRPr="003D1E8A">
        <w:rPr>
          <w:b/>
        </w:rPr>
        <w:t>.</w:t>
      </w:r>
    </w:p>
    <w:p w14:paraId="024BFD5A" w14:textId="3F91A931" w:rsidR="00CB3887" w:rsidRPr="003D1E8A" w:rsidRDefault="00AD7FB2" w:rsidP="003D1E8A">
      <w:pPr>
        <w:rPr>
          <w:b/>
        </w:rPr>
      </w:pPr>
      <w:r w:rsidRPr="003D1E8A">
        <w:rPr>
          <w:b/>
        </w:rPr>
        <w:t>Proposal 4</w:t>
      </w:r>
      <w:r w:rsidR="00F77A1C" w:rsidRPr="003D1E8A">
        <w:rPr>
          <w:b/>
        </w:rPr>
        <w:t xml:space="preserve">: For </w:t>
      </w:r>
      <w:r w:rsidR="00DA395A">
        <w:rPr>
          <w:b/>
        </w:rPr>
        <w:t xml:space="preserve">Rel-18 </w:t>
      </w:r>
      <w:r w:rsidR="00F77A1C" w:rsidRPr="003D1E8A">
        <w:rPr>
          <w:b/>
        </w:rPr>
        <w:t>CHO with candidate SCG(s), the candidate PSCells can</w:t>
      </w:r>
      <w:r w:rsidR="00DA395A">
        <w:rPr>
          <w:b/>
        </w:rPr>
        <w:t xml:space="preserve"> also</w:t>
      </w:r>
      <w:r w:rsidR="00F77A1C" w:rsidRPr="003D1E8A">
        <w:rPr>
          <w:b/>
        </w:rPr>
        <w:t xml:space="preserve"> be recommended by </w:t>
      </w:r>
      <w:r w:rsidRPr="003D1E8A">
        <w:rPr>
          <w:b/>
        </w:rPr>
        <w:t>the s</w:t>
      </w:r>
      <w:r w:rsidR="00F77A1C" w:rsidRPr="003D1E8A">
        <w:rPr>
          <w:b/>
        </w:rPr>
        <w:t>ource SN</w:t>
      </w:r>
      <w:r w:rsidR="001E730E" w:rsidRPr="003D1E8A">
        <w:rPr>
          <w:b/>
        </w:rPr>
        <w:t>.</w:t>
      </w:r>
    </w:p>
    <w:p w14:paraId="35FEE6F0" w14:textId="03DA3B38" w:rsidR="00CB3887" w:rsidRDefault="00CB3887" w:rsidP="00CB3887">
      <w:pPr>
        <w:pStyle w:val="2"/>
        <w:keepLines w:val="0"/>
        <w:tabs>
          <w:tab w:val="clear" w:pos="1002"/>
          <w:tab w:val="num" w:pos="576"/>
        </w:tabs>
        <w:spacing w:line="240" w:lineRule="auto"/>
        <w:ind w:left="0" w:firstLine="0"/>
        <w:jc w:val="left"/>
        <w:rPr>
          <w:lang w:eastAsia="zh-CN"/>
        </w:rPr>
      </w:pPr>
      <w:r>
        <w:rPr>
          <w:lang w:eastAsia="zh-CN"/>
        </w:rPr>
        <w:t xml:space="preserve">Failure handling </w:t>
      </w:r>
      <w:r>
        <w:rPr>
          <w:rFonts w:hint="eastAsia"/>
          <w:lang w:eastAsia="zh-CN"/>
        </w:rPr>
        <w:t>for</w:t>
      </w:r>
      <w:r>
        <w:rPr>
          <w:lang w:eastAsia="zh-CN"/>
        </w:rPr>
        <w:t xml:space="preserve"> </w:t>
      </w:r>
      <w:r>
        <w:rPr>
          <w:rFonts w:hint="eastAsia"/>
          <w:lang w:eastAsia="zh-CN"/>
        </w:rPr>
        <w:t>CHO</w:t>
      </w:r>
      <w:r>
        <w:rPr>
          <w:lang w:eastAsia="zh-CN"/>
        </w:rPr>
        <w:t xml:space="preserve"> </w:t>
      </w:r>
      <w:r>
        <w:rPr>
          <w:rFonts w:hint="eastAsia"/>
          <w:lang w:eastAsia="zh-CN"/>
        </w:rPr>
        <w:t>with</w:t>
      </w:r>
      <w:r>
        <w:rPr>
          <w:lang w:eastAsia="zh-CN"/>
        </w:rPr>
        <w:t xml:space="preserve"> </w:t>
      </w:r>
      <w:r>
        <w:rPr>
          <w:rFonts w:hint="eastAsia"/>
          <w:lang w:eastAsia="zh-CN"/>
        </w:rPr>
        <w:t>candidate</w:t>
      </w:r>
      <w:r>
        <w:rPr>
          <w:lang w:eastAsia="zh-CN"/>
        </w:rPr>
        <w:t xml:space="preserve"> </w:t>
      </w:r>
      <w:r>
        <w:rPr>
          <w:rFonts w:hint="eastAsia"/>
          <w:lang w:eastAsia="zh-CN"/>
        </w:rPr>
        <w:t>SCG</w:t>
      </w:r>
      <w:r>
        <w:rPr>
          <w:lang w:eastAsia="zh-CN"/>
        </w:rPr>
        <w:t>(s)</w:t>
      </w:r>
    </w:p>
    <w:p w14:paraId="002F69EA" w14:textId="40CABDFA" w:rsidR="00CB3887" w:rsidRPr="003D1E8A" w:rsidRDefault="003D72D7" w:rsidP="00CB3887">
      <w:r w:rsidRPr="003D1E8A">
        <w:t>For failure handling in Rel-18 CHO with candidate SCG(s), some remaining issues can be discussed:</w:t>
      </w:r>
    </w:p>
    <w:p w14:paraId="3CE6F696" w14:textId="2DB79A5A" w:rsidR="003D72D7" w:rsidRPr="00DA395A" w:rsidRDefault="003D72D7" w:rsidP="00CB3887">
      <w:pPr>
        <w:rPr>
          <w:i/>
          <w:u w:val="single"/>
        </w:rPr>
      </w:pPr>
      <w:r w:rsidRPr="00DA395A">
        <w:rPr>
          <w:i/>
          <w:u w:val="single"/>
        </w:rPr>
        <w:t>1) Whether the legacy CHO recovery mechanism applies to the configuration for CHO with candidate SCG(s).</w:t>
      </w:r>
    </w:p>
    <w:p w14:paraId="77A93F17" w14:textId="60064EBC" w:rsidR="00681BF5" w:rsidRPr="003D1E8A" w:rsidRDefault="0003313E" w:rsidP="00CB3887">
      <w:pPr>
        <w:rPr>
          <w:lang w:val="en-US"/>
        </w:rPr>
      </w:pPr>
      <w:r w:rsidRPr="003D1E8A">
        <w:t xml:space="preserve">In </w:t>
      </w:r>
      <w:r w:rsidR="00E60F8F" w:rsidRPr="003D1E8A">
        <w:t xml:space="preserve">the </w:t>
      </w:r>
      <w:r w:rsidRPr="003D1E8A">
        <w:t xml:space="preserve">legacy </w:t>
      </w:r>
      <w:r w:rsidR="00E60F8F" w:rsidRPr="003D1E8A">
        <w:t>procedure</w:t>
      </w:r>
      <w:r w:rsidRPr="003D1E8A">
        <w:t xml:space="preserve">, </w:t>
      </w:r>
      <w:r w:rsidR="00E60F8F" w:rsidRPr="003D1E8A">
        <w:t>the configuration for Rel-16 CHO or Rel-17 CHO with target SCG can be applied for failure recovery. Similar to Rel-17 CHO with target SCG, the candidate cell configuration of Rel-18 CHO with candidate SCGs also includes</w:t>
      </w:r>
      <w:r w:rsidR="00E60F8F" w:rsidRPr="003D1E8A">
        <w:rPr>
          <w:lang w:val="en-US"/>
        </w:rPr>
        <w:t xml:space="preserve"> one MCG configuration and one SCG configuration, which also can be applied for CHO recovery.</w:t>
      </w:r>
    </w:p>
    <w:p w14:paraId="6D077276" w14:textId="7FF53C60" w:rsidR="00E60F8F" w:rsidRPr="003D1E8A" w:rsidRDefault="00E60F8F" w:rsidP="00CB3887">
      <w:r w:rsidRPr="003D1E8A">
        <w:t xml:space="preserve">To support </w:t>
      </w:r>
      <w:r w:rsidRPr="003D1E8A">
        <w:rPr>
          <w:lang w:val="en-US"/>
        </w:rPr>
        <w:t>multiple candidate PSCells associated with one candidate PCell</w:t>
      </w:r>
      <w:r w:rsidR="00D50739">
        <w:rPr>
          <w:lang w:val="en-US"/>
        </w:rPr>
        <w:t xml:space="preserve"> in Rel-18</w:t>
      </w:r>
      <w:r w:rsidRPr="003D1E8A">
        <w:rPr>
          <w:lang w:val="en-US"/>
        </w:rPr>
        <w:t>, RAN2 has agreed the network can provide multiple CHO configurations for the same candidate PCell.</w:t>
      </w:r>
      <w:r w:rsidRPr="003D1E8A">
        <w:t xml:space="preserve"> If more than one CHO with candidate SCGs are configured associate</w:t>
      </w:r>
      <w:r w:rsidR="00D50739">
        <w:t>d with the selected candidate P</w:t>
      </w:r>
      <w:r w:rsidRPr="003D1E8A">
        <w:t>Cell, UE can select one CHO with candidate SCG configuration for CHO recovery based on UE implementation.</w:t>
      </w:r>
    </w:p>
    <w:p w14:paraId="3ECE5F8E" w14:textId="6DF18E8A" w:rsidR="00E60F8F" w:rsidRPr="003D1E8A" w:rsidRDefault="00E60F8F" w:rsidP="00CB3887">
      <w:pPr>
        <w:rPr>
          <w:b/>
        </w:rPr>
      </w:pPr>
      <w:r w:rsidRPr="003D1E8A">
        <w:rPr>
          <w:b/>
        </w:rPr>
        <w:t>Proposal 5: Rel-18 CHO with candidate SCG(s) can be triggered f</w:t>
      </w:r>
      <w:r w:rsidR="003D1E8A">
        <w:rPr>
          <w:b/>
        </w:rPr>
        <w:t>or CHO recovery. If multiple conditional</w:t>
      </w:r>
      <w:r w:rsidRPr="003D1E8A">
        <w:rPr>
          <w:b/>
        </w:rPr>
        <w:t xml:space="preserve"> configurations are configured for the selected PCell, it is up to UE imple</w:t>
      </w:r>
      <w:r w:rsidR="003D1E8A">
        <w:rPr>
          <w:b/>
        </w:rPr>
        <w:t xml:space="preserve">mentation to select </w:t>
      </w:r>
      <w:r w:rsidRPr="003D1E8A">
        <w:rPr>
          <w:b/>
        </w:rPr>
        <w:t>one configuration for CHO recovery.</w:t>
      </w:r>
    </w:p>
    <w:p w14:paraId="12541425" w14:textId="689025A9" w:rsidR="00CB3887" w:rsidRPr="00DA395A" w:rsidRDefault="003D72D7" w:rsidP="009F5D46">
      <w:pPr>
        <w:rPr>
          <w:i/>
          <w:u w:val="single"/>
        </w:rPr>
      </w:pPr>
      <w:r w:rsidRPr="00DA395A">
        <w:rPr>
          <w:i/>
          <w:u w:val="single"/>
        </w:rPr>
        <w:t>2) Whether to stop conditional reconfiguration evaluation for CHO with Candidate SCG(s) upon initiating SCG failure information procedure.</w:t>
      </w:r>
    </w:p>
    <w:p w14:paraId="7D01A2BA" w14:textId="2FD79E47" w:rsidR="001848FC" w:rsidRPr="003D1E8A" w:rsidRDefault="001848FC" w:rsidP="009F5D46">
      <w:r w:rsidRPr="003D1E8A">
        <w:t>In the current spec, UE only stops conditional reconfiguration evaluation for CPC upon initiating SCG failure information procedure. For Rel-18 CHO with candidate SCG(s), network can reconfigure or remove candidate SCGs and associated configuration</w:t>
      </w:r>
      <w:r w:rsidR="00D50739">
        <w:t>s</w:t>
      </w:r>
      <w:r w:rsidRPr="003D1E8A">
        <w:t xml:space="preserve"> when SCG failure</w:t>
      </w:r>
      <w:r w:rsidR="00A22201" w:rsidRPr="003D1E8A">
        <w:t xml:space="preserve"> to avoid </w:t>
      </w:r>
      <w:r w:rsidR="00D50739" w:rsidRPr="00D50739">
        <w:t>unnecessary</w:t>
      </w:r>
      <w:r w:rsidR="00D50739">
        <w:t xml:space="preserve"> </w:t>
      </w:r>
      <w:r w:rsidR="00A22201" w:rsidRPr="003D1E8A">
        <w:t>evaluation</w:t>
      </w:r>
      <w:r w:rsidRPr="003D1E8A">
        <w:t xml:space="preserve">. </w:t>
      </w:r>
      <w:r w:rsidR="00A22201" w:rsidRPr="003D1E8A">
        <w:t xml:space="preserve">Hence, </w:t>
      </w:r>
      <w:r w:rsidR="00D50739">
        <w:t xml:space="preserve">it is not needed </w:t>
      </w:r>
      <w:r w:rsidR="00A22201" w:rsidRPr="003D1E8A">
        <w:t>UE autonomously stops the evaluation for CHO with candidate SCG(s) for SCG failure. UE can continue conditional reconfiguration evaluation for CHO with Candidate SCG(s) upon initiating SCG failure information procedure and no spec change is needed for the issue.</w:t>
      </w:r>
    </w:p>
    <w:p w14:paraId="720726BE" w14:textId="2FC7D8BA" w:rsidR="00A22201" w:rsidRPr="003D1E8A" w:rsidRDefault="00A22201" w:rsidP="009F5D46">
      <w:pPr>
        <w:rPr>
          <w:b/>
        </w:rPr>
      </w:pPr>
      <w:r w:rsidRPr="003D1E8A">
        <w:rPr>
          <w:b/>
        </w:rPr>
        <w:t>Proposal 6: UE can continue conditional reconfiguration evaluation for CHO with candidate SCG(s) upon initiating SCG failure information procedure and no spec change is needed for Rel-18 CHO with candidate SCG(s) in the procedure of SCG failure information.</w:t>
      </w:r>
    </w:p>
    <w:p w14:paraId="1662BD9E" w14:textId="77777777" w:rsidR="00DA44DE" w:rsidRDefault="00DA44DE" w:rsidP="00DA44DE">
      <w:pPr>
        <w:pStyle w:val="1"/>
        <w:jc w:val="left"/>
      </w:pPr>
      <w:r>
        <w:t>Conclusions</w:t>
      </w:r>
    </w:p>
    <w:p w14:paraId="3E19A263" w14:textId="770A96C9" w:rsidR="00A93356" w:rsidRPr="0097584A" w:rsidRDefault="00364AA7" w:rsidP="00D5393F">
      <w:pPr>
        <w:spacing w:afterLines="50" w:line="240" w:lineRule="auto"/>
        <w:jc w:val="left"/>
      </w:pPr>
      <w:r w:rsidRPr="0097584A">
        <w:t>According to the analysis given above, we have the</w:t>
      </w:r>
      <w:r w:rsidR="00C23D4B" w:rsidRPr="0097584A">
        <w:t xml:space="preserve"> following </w:t>
      </w:r>
      <w:r w:rsidR="00E41505" w:rsidRPr="0097584A">
        <w:t xml:space="preserve">observations and </w:t>
      </w:r>
      <w:r w:rsidRPr="0097584A">
        <w:t>proposals:</w:t>
      </w:r>
    </w:p>
    <w:p w14:paraId="11BCD1F9" w14:textId="08399D43" w:rsidR="00F04197" w:rsidRPr="0097584A" w:rsidRDefault="0097584A" w:rsidP="00D5393F">
      <w:pPr>
        <w:spacing w:afterLines="50" w:line="240" w:lineRule="auto"/>
        <w:jc w:val="left"/>
        <w:rPr>
          <w:i/>
          <w:u w:val="single"/>
        </w:rPr>
      </w:pPr>
      <w:r w:rsidRPr="0097584A">
        <w:rPr>
          <w:i/>
          <w:u w:val="single"/>
        </w:rPr>
        <w:t>Preparation for CHO with candidate SCG(s)</w:t>
      </w:r>
    </w:p>
    <w:p w14:paraId="058A794A" w14:textId="77777777" w:rsidR="00E91115" w:rsidRPr="003D1E8A" w:rsidRDefault="00E91115" w:rsidP="00E91115">
      <w:pPr>
        <w:rPr>
          <w:b/>
        </w:rPr>
      </w:pPr>
      <w:r w:rsidRPr="003D1E8A">
        <w:rPr>
          <w:b/>
        </w:rPr>
        <w:t>Observation 1: MN involvement is always needed</w:t>
      </w:r>
      <w:r>
        <w:rPr>
          <w:b/>
        </w:rPr>
        <w:t xml:space="preserve"> </w:t>
      </w:r>
      <w:r>
        <w:rPr>
          <w:rFonts w:hint="eastAsia"/>
          <w:b/>
        </w:rPr>
        <w:t>to</w:t>
      </w:r>
      <w:r>
        <w:rPr>
          <w:b/>
        </w:rPr>
        <w:t xml:space="preserve"> </w:t>
      </w:r>
      <w:r w:rsidRPr="003D1E8A">
        <w:rPr>
          <w:b/>
        </w:rPr>
        <w:t>support CHO with c</w:t>
      </w:r>
      <w:r>
        <w:rPr>
          <w:b/>
        </w:rPr>
        <w:t>andidate SCG(s) for CPA and CPC</w:t>
      </w:r>
      <w:r w:rsidRPr="003D1E8A">
        <w:rPr>
          <w:b/>
        </w:rPr>
        <w:t>.</w:t>
      </w:r>
    </w:p>
    <w:p w14:paraId="565B8D0F" w14:textId="77777777" w:rsidR="00E91115" w:rsidRPr="003D1E8A" w:rsidRDefault="00E91115" w:rsidP="00E91115">
      <w:pPr>
        <w:rPr>
          <w:b/>
        </w:rPr>
      </w:pPr>
      <w:r w:rsidRPr="003D1E8A">
        <w:rPr>
          <w:b/>
        </w:rPr>
        <w:t>Proposal 1: The source MN can initiate the preparation of the R</w:t>
      </w:r>
      <w:r>
        <w:rPr>
          <w:rFonts w:hint="eastAsia"/>
          <w:b/>
        </w:rPr>
        <w:t>el-</w:t>
      </w:r>
      <w:r w:rsidRPr="003D1E8A">
        <w:rPr>
          <w:b/>
        </w:rPr>
        <w:t>18 CHO with candidate SCG(s)</w:t>
      </w:r>
      <w:r>
        <w:rPr>
          <w:b/>
        </w:rPr>
        <w:t>.</w:t>
      </w:r>
    </w:p>
    <w:p w14:paraId="113F62ED" w14:textId="77777777" w:rsidR="00E91115" w:rsidRPr="003D1E8A" w:rsidRDefault="00E91115" w:rsidP="00E91115">
      <w:pPr>
        <w:rPr>
          <w:b/>
        </w:rPr>
      </w:pPr>
      <w:r w:rsidRPr="003D1E8A">
        <w:rPr>
          <w:b/>
        </w:rPr>
        <w:t>Proposal 2: For Rel-18 CHO with candidate SCG</w:t>
      </w:r>
      <w:r>
        <w:rPr>
          <w:rFonts w:hint="eastAsia"/>
          <w:b/>
        </w:rPr>
        <w:t>(</w:t>
      </w:r>
      <w:r w:rsidRPr="003D1E8A">
        <w:rPr>
          <w:b/>
        </w:rPr>
        <w:t>s</w:t>
      </w:r>
      <w:r>
        <w:rPr>
          <w:b/>
        </w:rPr>
        <w:t>)</w:t>
      </w:r>
      <w:r w:rsidRPr="003D1E8A">
        <w:rPr>
          <w:b/>
        </w:rPr>
        <w:t>, the candidate MN can recommend the candidate PSCells to candidate SN.</w:t>
      </w:r>
    </w:p>
    <w:p w14:paraId="4BDF340F" w14:textId="77777777" w:rsidR="00E91115" w:rsidRPr="003D1E8A" w:rsidRDefault="00E91115" w:rsidP="00E91115">
      <w:pPr>
        <w:rPr>
          <w:b/>
        </w:rPr>
      </w:pPr>
      <w:r w:rsidRPr="003D1E8A">
        <w:rPr>
          <w:b/>
        </w:rPr>
        <w:lastRenderedPageBreak/>
        <w:t xml:space="preserve">Proposal 3: CHO with candidate SCG(s) for SN initiated CPC can be considered </w:t>
      </w:r>
      <w:r>
        <w:rPr>
          <w:b/>
        </w:rPr>
        <w:t>in Rel-18. C</w:t>
      </w:r>
      <w:r w:rsidRPr="003D1E8A">
        <w:rPr>
          <w:b/>
        </w:rPr>
        <w:t>o</w:t>
      </w:r>
      <w:r>
        <w:rPr>
          <w:b/>
        </w:rPr>
        <w:t>ndEventA3/</w:t>
      </w:r>
      <w:r w:rsidRPr="003D1E8A">
        <w:rPr>
          <w:b/>
        </w:rPr>
        <w:t xml:space="preserve">A5 </w:t>
      </w:r>
      <w:r>
        <w:rPr>
          <w:b/>
        </w:rPr>
        <w:t>can be configured</w:t>
      </w:r>
      <w:r w:rsidRPr="003D1E8A">
        <w:rPr>
          <w:b/>
        </w:rPr>
        <w:t xml:space="preserve"> for the CPC conditions on candidate</w:t>
      </w:r>
      <w:r>
        <w:rPr>
          <w:b/>
        </w:rPr>
        <w:t xml:space="preserve"> PSCells in CHO with candidate SCG(s) and t</w:t>
      </w:r>
      <w:r w:rsidRPr="003D1E8A">
        <w:rPr>
          <w:b/>
        </w:rPr>
        <w:t xml:space="preserve">he source </w:t>
      </w:r>
      <w:r>
        <w:rPr>
          <w:b/>
        </w:rPr>
        <w:t>SN</w:t>
      </w:r>
      <w:r w:rsidRPr="003D1E8A">
        <w:rPr>
          <w:b/>
        </w:rPr>
        <w:t xml:space="preserve"> generates the A3/A5 based conditions based on</w:t>
      </w:r>
      <w:r>
        <w:rPr>
          <w:b/>
        </w:rPr>
        <w:t xml:space="preserve"> the source</w:t>
      </w:r>
      <w:r w:rsidRPr="003D1E8A">
        <w:rPr>
          <w:b/>
        </w:rPr>
        <w:t xml:space="preserve"> SCG </w:t>
      </w:r>
      <w:r w:rsidRPr="003D1E8A">
        <w:rPr>
          <w:b/>
          <w:i/>
        </w:rPr>
        <w:t>MeasConfig</w:t>
      </w:r>
      <w:r w:rsidRPr="003D1E8A">
        <w:rPr>
          <w:b/>
        </w:rPr>
        <w:t>.</w:t>
      </w:r>
    </w:p>
    <w:p w14:paraId="4CDD0707" w14:textId="77777777" w:rsidR="00E91115" w:rsidRPr="003D1E8A" w:rsidRDefault="00E91115" w:rsidP="00E91115">
      <w:pPr>
        <w:rPr>
          <w:b/>
        </w:rPr>
      </w:pPr>
      <w:r w:rsidRPr="003D1E8A">
        <w:rPr>
          <w:b/>
        </w:rPr>
        <w:t xml:space="preserve">Proposal 4: For </w:t>
      </w:r>
      <w:r>
        <w:rPr>
          <w:b/>
        </w:rPr>
        <w:t xml:space="preserve">Rel-18 </w:t>
      </w:r>
      <w:r w:rsidRPr="003D1E8A">
        <w:rPr>
          <w:b/>
        </w:rPr>
        <w:t>CHO with candidate SCG(s), the candidate PSCells can</w:t>
      </w:r>
      <w:r>
        <w:rPr>
          <w:b/>
        </w:rPr>
        <w:t xml:space="preserve"> also</w:t>
      </w:r>
      <w:r w:rsidRPr="003D1E8A">
        <w:rPr>
          <w:b/>
        </w:rPr>
        <w:t xml:space="preserve"> be recommended by the source SN.</w:t>
      </w:r>
    </w:p>
    <w:p w14:paraId="4CC73CC6" w14:textId="6AF251CE" w:rsidR="0066157D" w:rsidRDefault="0097584A" w:rsidP="00D5393F">
      <w:pPr>
        <w:spacing w:afterLines="50" w:line="240" w:lineRule="auto"/>
        <w:jc w:val="left"/>
        <w:rPr>
          <w:i/>
          <w:u w:val="single"/>
        </w:rPr>
      </w:pPr>
      <w:r w:rsidRPr="0097584A">
        <w:rPr>
          <w:i/>
          <w:u w:val="single"/>
        </w:rPr>
        <w:t>Failure handling for CHO with candidate SCG(s)</w:t>
      </w:r>
    </w:p>
    <w:p w14:paraId="424ED3C3" w14:textId="77777777" w:rsidR="00E91115" w:rsidRPr="003D1E8A" w:rsidRDefault="00E91115" w:rsidP="00E91115">
      <w:pPr>
        <w:rPr>
          <w:b/>
        </w:rPr>
      </w:pPr>
      <w:r w:rsidRPr="003D1E8A">
        <w:rPr>
          <w:b/>
        </w:rPr>
        <w:t>Proposal 5: Rel-18 CHO with candidate SCG(s) can be triggered f</w:t>
      </w:r>
      <w:r>
        <w:rPr>
          <w:b/>
        </w:rPr>
        <w:t>or CHO recovery. If multiple conditional</w:t>
      </w:r>
      <w:r w:rsidRPr="003D1E8A">
        <w:rPr>
          <w:b/>
        </w:rPr>
        <w:t xml:space="preserve"> configurations are configured for the selected PCell, it is up to UE imple</w:t>
      </w:r>
      <w:r>
        <w:rPr>
          <w:b/>
        </w:rPr>
        <w:t xml:space="preserve">mentation to select </w:t>
      </w:r>
      <w:r w:rsidRPr="003D1E8A">
        <w:rPr>
          <w:b/>
        </w:rPr>
        <w:t>one configuration for CHO recovery.</w:t>
      </w:r>
    </w:p>
    <w:p w14:paraId="66953C14" w14:textId="77777777" w:rsidR="00E91115" w:rsidRPr="003D1E8A" w:rsidRDefault="00E91115" w:rsidP="00E91115">
      <w:pPr>
        <w:rPr>
          <w:b/>
        </w:rPr>
      </w:pPr>
      <w:bookmarkStart w:id="4" w:name="_Toc502437832"/>
      <w:r w:rsidRPr="003D1E8A">
        <w:rPr>
          <w:b/>
        </w:rPr>
        <w:t>Proposal 6: UE can continue conditional reconfiguration evaluation for CHO with candidate SCG(s) upon initiating SCG failure information procedure and no spec change is needed for Rel-18 CHO with candidate SCG(s) in the procedure of SCG failure information.</w:t>
      </w:r>
    </w:p>
    <w:p w14:paraId="513DE901" w14:textId="77777777" w:rsidR="00DA44DE" w:rsidRDefault="00DA44DE" w:rsidP="00DA44DE">
      <w:pPr>
        <w:pStyle w:val="1"/>
        <w:tabs>
          <w:tab w:val="left" w:pos="432"/>
        </w:tabs>
        <w:spacing w:before="180" w:line="240" w:lineRule="auto"/>
        <w:ind w:left="0" w:firstLine="0"/>
        <w:jc w:val="left"/>
      </w:pPr>
      <w:r>
        <w:t>Reference</w:t>
      </w:r>
    </w:p>
    <w:bookmarkEnd w:id="4"/>
    <w:p w14:paraId="0DC6A6A2" w14:textId="7E3D2A45" w:rsidR="00ED69FF" w:rsidRPr="003C69CE" w:rsidRDefault="008F539C" w:rsidP="003C69CE">
      <w:pPr>
        <w:pStyle w:val="Doc-title"/>
        <w:ind w:left="0" w:firstLine="0"/>
        <w:rPr>
          <w:rFonts w:ascii="Times New Roman" w:hAnsi="Times New Roman"/>
        </w:rPr>
      </w:pPr>
      <w:r>
        <w:rPr>
          <w:rFonts w:ascii="Times New Roman" w:hAnsi="Times New Roman"/>
        </w:rPr>
        <w:t>[1] RP-231475</w:t>
      </w:r>
      <w:r w:rsidR="00ED69FF" w:rsidRPr="003C69CE">
        <w:rPr>
          <w:rFonts w:ascii="Times New Roman" w:hAnsi="Times New Roman"/>
        </w:rPr>
        <w:t>, MediaTek Inc., “Revised WID on Further NR mobility enhancements”</w:t>
      </w:r>
    </w:p>
    <w:p w14:paraId="18E3A54B" w14:textId="63406078" w:rsidR="0063010A" w:rsidRDefault="00062EF2" w:rsidP="008506EA">
      <w:pPr>
        <w:pStyle w:val="Doc-title"/>
        <w:ind w:left="0" w:firstLine="0"/>
        <w:rPr>
          <w:rFonts w:ascii="Times New Roman" w:hAnsi="Times New Roman"/>
        </w:rPr>
      </w:pPr>
      <w:r w:rsidRPr="003C69CE">
        <w:rPr>
          <w:rFonts w:ascii="Times New Roman" w:hAnsi="Times New Roman"/>
        </w:rPr>
        <w:t xml:space="preserve">[2] </w:t>
      </w:r>
      <w:r w:rsidR="008506EA" w:rsidRPr="008506EA">
        <w:rPr>
          <w:rFonts w:ascii="Times New Roman" w:hAnsi="Times New Roman"/>
        </w:rPr>
        <w:t>R2-2209301, “Report of 3GPP TSG RAN WG2 meeting #119-e”</w:t>
      </w:r>
    </w:p>
    <w:p w14:paraId="22173E6C" w14:textId="694BCC8D" w:rsidR="00C90D70" w:rsidRDefault="003E3ABD" w:rsidP="00C90D70">
      <w:pPr>
        <w:pStyle w:val="Doc-title"/>
        <w:ind w:left="0" w:firstLine="0"/>
        <w:rPr>
          <w:rFonts w:ascii="Times New Roman" w:hAnsi="Times New Roman"/>
        </w:rPr>
      </w:pPr>
      <w:r>
        <w:rPr>
          <w:rFonts w:ascii="Times New Roman" w:hAnsi="Times New Roman"/>
        </w:rPr>
        <w:t>[3</w:t>
      </w:r>
      <w:r w:rsidR="00C90D70" w:rsidRPr="003C69CE">
        <w:rPr>
          <w:rFonts w:ascii="Times New Roman" w:hAnsi="Times New Roman"/>
        </w:rPr>
        <w:t xml:space="preserve">] </w:t>
      </w:r>
      <w:r w:rsidR="00D77177" w:rsidRPr="00D77177">
        <w:rPr>
          <w:rFonts w:ascii="Times New Roman" w:hAnsi="Times New Roman"/>
        </w:rPr>
        <w:t>R2-2300002</w:t>
      </w:r>
      <w:r w:rsidR="00C90D70" w:rsidRPr="008506EA">
        <w:rPr>
          <w:rFonts w:ascii="Times New Roman" w:hAnsi="Times New Roman"/>
        </w:rPr>
        <w:t>, “Report of</w:t>
      </w:r>
      <w:r w:rsidR="00C90D70">
        <w:rPr>
          <w:rFonts w:ascii="Times New Roman" w:hAnsi="Times New Roman"/>
        </w:rPr>
        <w:t xml:space="preserve"> 3GPP TSG RAN WG2 meeting #120</w:t>
      </w:r>
      <w:r w:rsidR="00C90D70" w:rsidRPr="008506EA">
        <w:rPr>
          <w:rFonts w:ascii="Times New Roman" w:hAnsi="Times New Roman"/>
        </w:rPr>
        <w:t>”</w:t>
      </w:r>
    </w:p>
    <w:p w14:paraId="44ECEEFF" w14:textId="6AD3EB83" w:rsidR="00FF583B" w:rsidRDefault="0027306E" w:rsidP="00516F46">
      <w:pPr>
        <w:pStyle w:val="Doc-title"/>
        <w:ind w:left="0" w:firstLine="0"/>
        <w:rPr>
          <w:rFonts w:ascii="Times New Roman" w:hAnsi="Times New Roman"/>
        </w:rPr>
      </w:pPr>
      <w:r>
        <w:rPr>
          <w:rFonts w:ascii="Times New Roman" w:hAnsi="Times New Roman"/>
        </w:rPr>
        <w:t>[4</w:t>
      </w:r>
      <w:r w:rsidRPr="003C69CE">
        <w:rPr>
          <w:rFonts w:ascii="Times New Roman" w:hAnsi="Times New Roman"/>
        </w:rPr>
        <w:t xml:space="preserve">] </w:t>
      </w:r>
      <w:r w:rsidR="00D77177" w:rsidRPr="00D77177">
        <w:rPr>
          <w:rFonts w:ascii="Times New Roman" w:hAnsi="Times New Roman"/>
        </w:rPr>
        <w:t>R2-2302401</w:t>
      </w:r>
      <w:r w:rsidRPr="008506EA">
        <w:rPr>
          <w:rFonts w:ascii="Times New Roman" w:hAnsi="Times New Roman"/>
        </w:rPr>
        <w:t>, “Report of</w:t>
      </w:r>
      <w:r>
        <w:rPr>
          <w:rFonts w:ascii="Times New Roman" w:hAnsi="Times New Roman"/>
        </w:rPr>
        <w:t xml:space="preserve"> 3GPP TSG RAN WG2 meeting #121</w:t>
      </w:r>
      <w:r w:rsidRPr="008506EA">
        <w:rPr>
          <w:rFonts w:ascii="Times New Roman" w:hAnsi="Times New Roman"/>
        </w:rPr>
        <w:t>”</w:t>
      </w:r>
    </w:p>
    <w:p w14:paraId="340A3591" w14:textId="59355A42" w:rsidR="002900BA" w:rsidRPr="002900BA" w:rsidRDefault="002900BA" w:rsidP="002900BA">
      <w:pPr>
        <w:pStyle w:val="Doc-title"/>
        <w:ind w:left="0" w:firstLine="0"/>
      </w:pPr>
      <w:r>
        <w:rPr>
          <w:rFonts w:ascii="Times New Roman" w:hAnsi="Times New Roman"/>
        </w:rPr>
        <w:t>[5</w:t>
      </w:r>
      <w:r w:rsidRPr="003C69CE">
        <w:rPr>
          <w:rFonts w:ascii="Times New Roman" w:hAnsi="Times New Roman"/>
        </w:rPr>
        <w:t xml:space="preserve">] </w:t>
      </w:r>
      <w:r w:rsidR="008F539C">
        <w:rPr>
          <w:rFonts w:ascii="Times New Roman" w:hAnsi="Times New Roman"/>
        </w:rPr>
        <w:t>R2-2306553</w:t>
      </w:r>
      <w:r w:rsidRPr="008506EA">
        <w:rPr>
          <w:rFonts w:ascii="Times New Roman" w:hAnsi="Times New Roman"/>
        </w:rPr>
        <w:t>, “Report of</w:t>
      </w:r>
      <w:r>
        <w:rPr>
          <w:rFonts w:ascii="Times New Roman" w:hAnsi="Times New Roman"/>
        </w:rPr>
        <w:t xml:space="preserve"> 3</w:t>
      </w:r>
      <w:r w:rsidR="008F539C">
        <w:rPr>
          <w:rFonts w:ascii="Times New Roman" w:hAnsi="Times New Roman"/>
        </w:rPr>
        <w:t>GPP TSG RAN WG2 meeting #121bis-e</w:t>
      </w:r>
      <w:r w:rsidRPr="008506EA">
        <w:rPr>
          <w:rFonts w:ascii="Times New Roman" w:hAnsi="Times New Roman"/>
        </w:rPr>
        <w:t>”</w:t>
      </w:r>
    </w:p>
    <w:p w14:paraId="47649158" w14:textId="01D7E780" w:rsidR="003D1E8A" w:rsidRPr="003D1E8A" w:rsidRDefault="003D1E8A" w:rsidP="003D1E8A">
      <w:pPr>
        <w:pStyle w:val="Doc-title"/>
        <w:ind w:left="0" w:firstLine="0"/>
        <w:rPr>
          <w:rFonts w:ascii="Times New Roman" w:hAnsi="Times New Roman"/>
        </w:rPr>
      </w:pPr>
      <w:r>
        <w:rPr>
          <w:rFonts w:ascii="Times New Roman" w:hAnsi="Times New Roman"/>
        </w:rPr>
        <w:t>[6</w:t>
      </w:r>
      <w:r w:rsidR="008F539C" w:rsidRPr="003C69CE">
        <w:rPr>
          <w:rFonts w:ascii="Times New Roman" w:hAnsi="Times New Roman"/>
        </w:rPr>
        <w:t xml:space="preserve">] </w:t>
      </w:r>
      <w:r w:rsidR="008F539C">
        <w:rPr>
          <w:rFonts w:ascii="Times New Roman" w:hAnsi="Times New Roman"/>
        </w:rPr>
        <w:t>R2-xxxxxxx</w:t>
      </w:r>
      <w:r w:rsidR="008F539C" w:rsidRPr="008506EA">
        <w:rPr>
          <w:rFonts w:ascii="Times New Roman" w:hAnsi="Times New Roman"/>
        </w:rPr>
        <w:t>, “Report of</w:t>
      </w:r>
      <w:r w:rsidR="008F539C">
        <w:rPr>
          <w:rFonts w:ascii="Times New Roman" w:hAnsi="Times New Roman"/>
        </w:rPr>
        <w:t xml:space="preserve"> 3GPP TSG RAN WG2 meeting #122</w:t>
      </w:r>
      <w:r w:rsidR="008F539C" w:rsidRPr="008506EA">
        <w:rPr>
          <w:rFonts w:ascii="Times New Roman" w:hAnsi="Times New Roman"/>
        </w:rPr>
        <w:t>”</w:t>
      </w:r>
    </w:p>
    <w:p w14:paraId="6313FACB" w14:textId="6450C8E6" w:rsidR="003D1E8A" w:rsidRPr="003D1E8A" w:rsidRDefault="003D1E8A" w:rsidP="003D1E8A">
      <w:pPr>
        <w:pStyle w:val="Doc-title"/>
        <w:ind w:left="0" w:firstLine="0"/>
        <w:rPr>
          <w:rFonts w:ascii="Times New Roman" w:hAnsi="Times New Roman"/>
        </w:rPr>
      </w:pPr>
      <w:r>
        <w:rPr>
          <w:rFonts w:ascii="Times New Roman" w:hAnsi="Times New Roman"/>
        </w:rPr>
        <w:t>[7</w:t>
      </w:r>
      <w:r w:rsidRPr="003C69CE">
        <w:rPr>
          <w:rFonts w:ascii="Times New Roman" w:hAnsi="Times New Roman"/>
        </w:rPr>
        <w:t xml:space="preserve">] </w:t>
      </w:r>
      <w:r w:rsidRPr="003D1E8A">
        <w:rPr>
          <w:rFonts w:ascii="Times New Roman" w:hAnsi="Times New Roman"/>
        </w:rPr>
        <w:t>R2-2306952</w:t>
      </w:r>
      <w:r w:rsidRPr="008506EA">
        <w:rPr>
          <w:rFonts w:ascii="Times New Roman" w:hAnsi="Times New Roman"/>
        </w:rPr>
        <w:t>, “</w:t>
      </w:r>
      <w:r w:rsidRPr="003D1E8A">
        <w:rPr>
          <w:rFonts w:ascii="Times New Roman" w:hAnsi="Times New Roman"/>
        </w:rPr>
        <w:t>37.340 running CR for introduction of NR further mobility enhancements</w:t>
      </w:r>
      <w:r w:rsidRPr="008506EA">
        <w:rPr>
          <w:rFonts w:ascii="Times New Roman" w:hAnsi="Times New Roman"/>
        </w:rPr>
        <w:t>”</w:t>
      </w:r>
    </w:p>
    <w:p w14:paraId="0AA5BB75" w14:textId="77777777" w:rsidR="005A623C" w:rsidRPr="000C3877" w:rsidRDefault="005A623C" w:rsidP="00A900E9">
      <w:pPr>
        <w:rPr>
          <w:b/>
        </w:rPr>
      </w:pPr>
    </w:p>
    <w:sectPr w:rsidR="005A623C" w:rsidRPr="000C3877"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C500F" w14:textId="77777777" w:rsidR="00D11E8A" w:rsidRDefault="00D11E8A">
      <w:pPr>
        <w:spacing w:after="0" w:line="240" w:lineRule="auto"/>
      </w:pPr>
      <w:r>
        <w:separator/>
      </w:r>
    </w:p>
  </w:endnote>
  <w:endnote w:type="continuationSeparator" w:id="0">
    <w:p w14:paraId="18273B74" w14:textId="77777777" w:rsidR="00D11E8A" w:rsidRDefault="00D11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EF9A5" w14:textId="77777777" w:rsidR="00D11E8A" w:rsidRDefault="00D11E8A">
      <w:pPr>
        <w:spacing w:after="0" w:line="240" w:lineRule="auto"/>
      </w:pPr>
      <w:r>
        <w:separator/>
      </w:r>
    </w:p>
  </w:footnote>
  <w:footnote w:type="continuationSeparator" w:id="0">
    <w:p w14:paraId="16589877" w14:textId="77777777" w:rsidR="00D11E8A" w:rsidRDefault="00D11E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2EF8"/>
    <w:multiLevelType w:val="hybridMultilevel"/>
    <w:tmpl w:val="3AF4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C4EED"/>
    <w:multiLevelType w:val="hybridMultilevel"/>
    <w:tmpl w:val="4616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F021D9"/>
    <w:multiLevelType w:val="hybridMultilevel"/>
    <w:tmpl w:val="88C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0716E"/>
    <w:multiLevelType w:val="hybridMultilevel"/>
    <w:tmpl w:val="BF1C0C7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31"/>
    <w:multiLevelType w:val="hybridMultilevel"/>
    <w:tmpl w:val="9E20DEE8"/>
    <w:lvl w:ilvl="0" w:tplc="59AA2C0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8FB6BBB"/>
    <w:multiLevelType w:val="hybridMultilevel"/>
    <w:tmpl w:val="58A4F9F0"/>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3D2827"/>
    <w:multiLevelType w:val="hybridMultilevel"/>
    <w:tmpl w:val="3C62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73EEE"/>
    <w:multiLevelType w:val="hybridMultilevel"/>
    <w:tmpl w:val="E0EEAA7E"/>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8716E"/>
    <w:multiLevelType w:val="hybridMultilevel"/>
    <w:tmpl w:val="CB92525E"/>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16432"/>
    <w:multiLevelType w:val="hybridMultilevel"/>
    <w:tmpl w:val="3E4AE77A"/>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8630E6"/>
    <w:multiLevelType w:val="hybridMultilevel"/>
    <w:tmpl w:val="43488C44"/>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8"/>
  </w:num>
  <w:num w:numId="4">
    <w:abstractNumId w:val="17"/>
  </w:num>
  <w:num w:numId="5">
    <w:abstractNumId w:val="1"/>
  </w:num>
  <w:num w:numId="6">
    <w:abstractNumId w:val="25"/>
  </w:num>
  <w:num w:numId="7">
    <w:abstractNumId w:val="32"/>
  </w:num>
  <w:num w:numId="8">
    <w:abstractNumId w:val="16"/>
  </w:num>
  <w:num w:numId="9">
    <w:abstractNumId w:val="4"/>
  </w:num>
  <w:num w:numId="10">
    <w:abstractNumId w:val="12"/>
  </w:num>
  <w:num w:numId="11">
    <w:abstractNumId w:val="22"/>
  </w:num>
  <w:num w:numId="12">
    <w:abstractNumId w:val="2"/>
  </w:num>
  <w:num w:numId="13">
    <w:abstractNumId w:val="28"/>
  </w:num>
  <w:num w:numId="14">
    <w:abstractNumId w:val="33"/>
  </w:num>
  <w:num w:numId="15">
    <w:abstractNumId w:val="9"/>
  </w:num>
  <w:num w:numId="16">
    <w:abstractNumId w:val="26"/>
  </w:num>
  <w:num w:numId="17">
    <w:abstractNumId w:val="5"/>
  </w:num>
  <w:num w:numId="18">
    <w:abstractNumId w:val="29"/>
  </w:num>
  <w:num w:numId="19">
    <w:abstractNumId w:val="18"/>
  </w:num>
  <w:num w:numId="20">
    <w:abstractNumId w:val="7"/>
  </w:num>
  <w:num w:numId="21">
    <w:abstractNumId w:val="1"/>
  </w:num>
  <w:num w:numId="22">
    <w:abstractNumId w:val="6"/>
  </w:num>
  <w:num w:numId="23">
    <w:abstractNumId w:val="19"/>
  </w:num>
  <w:num w:numId="24">
    <w:abstractNumId w:val="1"/>
  </w:num>
  <w:num w:numId="25">
    <w:abstractNumId w:val="23"/>
  </w:num>
  <w:num w:numId="26">
    <w:abstractNumId w:val="13"/>
  </w:num>
  <w:num w:numId="27">
    <w:abstractNumId w:val="0"/>
  </w:num>
  <w:num w:numId="28">
    <w:abstractNumId w:val="1"/>
  </w:num>
  <w:num w:numId="29">
    <w:abstractNumId w:val="10"/>
  </w:num>
  <w:num w:numId="30">
    <w:abstractNumId w:val="1"/>
  </w:num>
  <w:num w:numId="31">
    <w:abstractNumId w:val="3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3"/>
  </w:num>
  <w:num w:numId="36">
    <w:abstractNumId w:val="15"/>
  </w:num>
  <w:num w:numId="37">
    <w:abstractNumId w:val="34"/>
  </w:num>
  <w:num w:numId="38">
    <w:abstractNumId w:val="27"/>
  </w:num>
  <w:num w:numId="39">
    <w:abstractNumId w:val="36"/>
  </w:num>
  <w:num w:numId="40">
    <w:abstractNumId w:val="35"/>
  </w:num>
  <w:num w:numId="41">
    <w:abstractNumId w:val="31"/>
  </w:num>
  <w:num w:numId="42">
    <w:abstractNumId w:val="14"/>
  </w:num>
  <w:num w:numId="43">
    <w:abstractNumId w:val="21"/>
  </w:num>
  <w:num w:numId="44">
    <w:abstractNumId w:val="30"/>
  </w:num>
  <w:num w:numId="4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C11"/>
    <w:rsid w:val="00006ED2"/>
    <w:rsid w:val="000070C8"/>
    <w:rsid w:val="000073F2"/>
    <w:rsid w:val="00007645"/>
    <w:rsid w:val="00007BBC"/>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959"/>
    <w:rsid w:val="00013A20"/>
    <w:rsid w:val="00013A3B"/>
    <w:rsid w:val="00013C3D"/>
    <w:rsid w:val="00013DE1"/>
    <w:rsid w:val="00013F61"/>
    <w:rsid w:val="00014042"/>
    <w:rsid w:val="00014381"/>
    <w:rsid w:val="000143D0"/>
    <w:rsid w:val="000145BE"/>
    <w:rsid w:val="00014793"/>
    <w:rsid w:val="0001496E"/>
    <w:rsid w:val="00014D27"/>
    <w:rsid w:val="000151F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DDC"/>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13E"/>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E7B"/>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26D"/>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D3"/>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B6F"/>
    <w:rsid w:val="0009608E"/>
    <w:rsid w:val="00096252"/>
    <w:rsid w:val="000962C8"/>
    <w:rsid w:val="0009651A"/>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1F0"/>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3E31"/>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B17"/>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877"/>
    <w:rsid w:val="000C3BF4"/>
    <w:rsid w:val="000C3C14"/>
    <w:rsid w:val="000C3EE9"/>
    <w:rsid w:val="000C3F19"/>
    <w:rsid w:val="000C40F4"/>
    <w:rsid w:val="000C41BD"/>
    <w:rsid w:val="000C460F"/>
    <w:rsid w:val="000C473B"/>
    <w:rsid w:val="000C48B2"/>
    <w:rsid w:val="000C4D95"/>
    <w:rsid w:val="000C4E16"/>
    <w:rsid w:val="000C55A9"/>
    <w:rsid w:val="000C5D2D"/>
    <w:rsid w:val="000C682A"/>
    <w:rsid w:val="000C69A8"/>
    <w:rsid w:val="000C6A24"/>
    <w:rsid w:val="000C6E7C"/>
    <w:rsid w:val="000C70B4"/>
    <w:rsid w:val="000C746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CDE"/>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01C"/>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97D"/>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39A"/>
    <w:rsid w:val="00126758"/>
    <w:rsid w:val="001268A5"/>
    <w:rsid w:val="00126B68"/>
    <w:rsid w:val="00126BE3"/>
    <w:rsid w:val="00126C8E"/>
    <w:rsid w:val="00127607"/>
    <w:rsid w:val="001279F0"/>
    <w:rsid w:val="00127C2B"/>
    <w:rsid w:val="00127E9C"/>
    <w:rsid w:val="0013042A"/>
    <w:rsid w:val="00130469"/>
    <w:rsid w:val="00130B10"/>
    <w:rsid w:val="00130C36"/>
    <w:rsid w:val="00130E2A"/>
    <w:rsid w:val="0013120D"/>
    <w:rsid w:val="00131224"/>
    <w:rsid w:val="00131435"/>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1D2"/>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63"/>
    <w:rsid w:val="00150098"/>
    <w:rsid w:val="0015026C"/>
    <w:rsid w:val="001503CE"/>
    <w:rsid w:val="001505F9"/>
    <w:rsid w:val="001507B0"/>
    <w:rsid w:val="0015088C"/>
    <w:rsid w:val="00150A53"/>
    <w:rsid w:val="001510F0"/>
    <w:rsid w:val="001513D6"/>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B4A"/>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8D"/>
    <w:rsid w:val="001742F6"/>
    <w:rsid w:val="0017443F"/>
    <w:rsid w:val="00174566"/>
    <w:rsid w:val="001747F5"/>
    <w:rsid w:val="00174862"/>
    <w:rsid w:val="00174DD5"/>
    <w:rsid w:val="00174F1F"/>
    <w:rsid w:val="001755AE"/>
    <w:rsid w:val="00175609"/>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4E7"/>
    <w:rsid w:val="0018172E"/>
    <w:rsid w:val="001818FA"/>
    <w:rsid w:val="00181A95"/>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FC"/>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AD6"/>
    <w:rsid w:val="001941E6"/>
    <w:rsid w:val="001944D1"/>
    <w:rsid w:val="00194695"/>
    <w:rsid w:val="00194714"/>
    <w:rsid w:val="00194844"/>
    <w:rsid w:val="001948AE"/>
    <w:rsid w:val="00194DEB"/>
    <w:rsid w:val="00194F0A"/>
    <w:rsid w:val="00194F82"/>
    <w:rsid w:val="00194FB5"/>
    <w:rsid w:val="001953CB"/>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6F"/>
    <w:rsid w:val="001A25C5"/>
    <w:rsid w:val="001A261B"/>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BF4"/>
    <w:rsid w:val="001A7C55"/>
    <w:rsid w:val="001A7E78"/>
    <w:rsid w:val="001B02B9"/>
    <w:rsid w:val="001B0A81"/>
    <w:rsid w:val="001B0C11"/>
    <w:rsid w:val="001B0EB0"/>
    <w:rsid w:val="001B1431"/>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0BC6"/>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E7088"/>
    <w:rsid w:val="001E730E"/>
    <w:rsid w:val="001F05DC"/>
    <w:rsid w:val="001F0956"/>
    <w:rsid w:val="001F0A15"/>
    <w:rsid w:val="001F0B1A"/>
    <w:rsid w:val="001F1030"/>
    <w:rsid w:val="001F1227"/>
    <w:rsid w:val="001F16E7"/>
    <w:rsid w:val="001F1797"/>
    <w:rsid w:val="001F1FB5"/>
    <w:rsid w:val="001F21E8"/>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6E9"/>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72E"/>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403"/>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0"/>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2"/>
    <w:rsid w:val="00253626"/>
    <w:rsid w:val="0025363B"/>
    <w:rsid w:val="00253987"/>
    <w:rsid w:val="00253EE0"/>
    <w:rsid w:val="0025475A"/>
    <w:rsid w:val="00254BED"/>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6E"/>
    <w:rsid w:val="00257FC6"/>
    <w:rsid w:val="00260063"/>
    <w:rsid w:val="002605BD"/>
    <w:rsid w:val="002606B6"/>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06E"/>
    <w:rsid w:val="00273273"/>
    <w:rsid w:val="00273358"/>
    <w:rsid w:val="00273582"/>
    <w:rsid w:val="0027408C"/>
    <w:rsid w:val="00274098"/>
    <w:rsid w:val="002740AE"/>
    <w:rsid w:val="00274269"/>
    <w:rsid w:val="00274536"/>
    <w:rsid w:val="002746B1"/>
    <w:rsid w:val="002746CF"/>
    <w:rsid w:val="002746D3"/>
    <w:rsid w:val="00274CE8"/>
    <w:rsid w:val="00274EFB"/>
    <w:rsid w:val="00274F4E"/>
    <w:rsid w:val="00275280"/>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3D4F"/>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0BA"/>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E2A"/>
    <w:rsid w:val="0029348F"/>
    <w:rsid w:val="0029353C"/>
    <w:rsid w:val="0029355F"/>
    <w:rsid w:val="002936DA"/>
    <w:rsid w:val="00293863"/>
    <w:rsid w:val="002938B3"/>
    <w:rsid w:val="00293946"/>
    <w:rsid w:val="00293960"/>
    <w:rsid w:val="00293D6D"/>
    <w:rsid w:val="00293D77"/>
    <w:rsid w:val="002947F9"/>
    <w:rsid w:val="00294E54"/>
    <w:rsid w:val="0029558B"/>
    <w:rsid w:val="0029589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5BA"/>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DE0"/>
    <w:rsid w:val="002B6E43"/>
    <w:rsid w:val="002B7485"/>
    <w:rsid w:val="002B76C0"/>
    <w:rsid w:val="002B774F"/>
    <w:rsid w:val="002B7843"/>
    <w:rsid w:val="002B7A4F"/>
    <w:rsid w:val="002B7F49"/>
    <w:rsid w:val="002B7F83"/>
    <w:rsid w:val="002C034B"/>
    <w:rsid w:val="002C0751"/>
    <w:rsid w:val="002C082C"/>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90F"/>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6958"/>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2E09"/>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CE2"/>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871"/>
    <w:rsid w:val="00304AEE"/>
    <w:rsid w:val="00304E9F"/>
    <w:rsid w:val="00304F9B"/>
    <w:rsid w:val="003052CF"/>
    <w:rsid w:val="00305359"/>
    <w:rsid w:val="003054E4"/>
    <w:rsid w:val="00305CF1"/>
    <w:rsid w:val="00305E46"/>
    <w:rsid w:val="00305F6F"/>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701"/>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EBC"/>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FA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002"/>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45"/>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1D24"/>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B68"/>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9E7"/>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6AE7"/>
    <w:rsid w:val="003773F3"/>
    <w:rsid w:val="003779E6"/>
    <w:rsid w:val="00377B59"/>
    <w:rsid w:val="00377D8D"/>
    <w:rsid w:val="00377F87"/>
    <w:rsid w:val="00380270"/>
    <w:rsid w:val="00380296"/>
    <w:rsid w:val="0038062A"/>
    <w:rsid w:val="00380947"/>
    <w:rsid w:val="00380A7B"/>
    <w:rsid w:val="00380D62"/>
    <w:rsid w:val="00380F51"/>
    <w:rsid w:val="00380FD8"/>
    <w:rsid w:val="0038119E"/>
    <w:rsid w:val="003811F4"/>
    <w:rsid w:val="003816B6"/>
    <w:rsid w:val="00381AF7"/>
    <w:rsid w:val="00381CD5"/>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2D"/>
    <w:rsid w:val="003A0BA7"/>
    <w:rsid w:val="003A0C84"/>
    <w:rsid w:val="003A0D71"/>
    <w:rsid w:val="003A130F"/>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8E8"/>
    <w:rsid w:val="003B3AE9"/>
    <w:rsid w:val="003B3D84"/>
    <w:rsid w:val="003B402B"/>
    <w:rsid w:val="003B42B9"/>
    <w:rsid w:val="003B42F5"/>
    <w:rsid w:val="003B44BD"/>
    <w:rsid w:val="003B4948"/>
    <w:rsid w:val="003B4AE2"/>
    <w:rsid w:val="003B4F78"/>
    <w:rsid w:val="003B522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1E8A"/>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2D7"/>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7E3"/>
    <w:rsid w:val="003E28A4"/>
    <w:rsid w:val="003E29B2"/>
    <w:rsid w:val="003E2A13"/>
    <w:rsid w:val="003E2FB1"/>
    <w:rsid w:val="003E2FFE"/>
    <w:rsid w:val="003E3ABD"/>
    <w:rsid w:val="003E45C4"/>
    <w:rsid w:val="003E4A33"/>
    <w:rsid w:val="003E52F9"/>
    <w:rsid w:val="003E571A"/>
    <w:rsid w:val="003E5A05"/>
    <w:rsid w:val="003E5C63"/>
    <w:rsid w:val="003E6143"/>
    <w:rsid w:val="003E61E1"/>
    <w:rsid w:val="003E6557"/>
    <w:rsid w:val="003E66B6"/>
    <w:rsid w:val="003E69ED"/>
    <w:rsid w:val="003E6E35"/>
    <w:rsid w:val="003E720A"/>
    <w:rsid w:val="003E7406"/>
    <w:rsid w:val="003E74DB"/>
    <w:rsid w:val="003E7731"/>
    <w:rsid w:val="003E77E1"/>
    <w:rsid w:val="003E7AC8"/>
    <w:rsid w:val="003F01A9"/>
    <w:rsid w:val="003F0A22"/>
    <w:rsid w:val="003F0B02"/>
    <w:rsid w:val="003F0D10"/>
    <w:rsid w:val="003F0EEC"/>
    <w:rsid w:val="003F10B3"/>
    <w:rsid w:val="003F15D0"/>
    <w:rsid w:val="003F17AD"/>
    <w:rsid w:val="003F19E1"/>
    <w:rsid w:val="003F1B59"/>
    <w:rsid w:val="003F1C99"/>
    <w:rsid w:val="003F212E"/>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977"/>
    <w:rsid w:val="003F7F31"/>
    <w:rsid w:val="004007C1"/>
    <w:rsid w:val="0040085A"/>
    <w:rsid w:val="00400C6C"/>
    <w:rsid w:val="00400E4D"/>
    <w:rsid w:val="004011C1"/>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B49"/>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4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9A"/>
    <w:rsid w:val="004326E3"/>
    <w:rsid w:val="00432757"/>
    <w:rsid w:val="004328BB"/>
    <w:rsid w:val="00432C1D"/>
    <w:rsid w:val="00432C6F"/>
    <w:rsid w:val="00432D39"/>
    <w:rsid w:val="00432ECC"/>
    <w:rsid w:val="004332E8"/>
    <w:rsid w:val="004333B9"/>
    <w:rsid w:val="00433401"/>
    <w:rsid w:val="0043378D"/>
    <w:rsid w:val="00433A36"/>
    <w:rsid w:val="004343E1"/>
    <w:rsid w:val="0043442E"/>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17"/>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CE2"/>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38D"/>
    <w:rsid w:val="0049663C"/>
    <w:rsid w:val="00496D89"/>
    <w:rsid w:val="00497304"/>
    <w:rsid w:val="004975B4"/>
    <w:rsid w:val="00497B18"/>
    <w:rsid w:val="00497B8E"/>
    <w:rsid w:val="00497FEB"/>
    <w:rsid w:val="004A0284"/>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DB2"/>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23D"/>
    <w:rsid w:val="004B5702"/>
    <w:rsid w:val="004B5A11"/>
    <w:rsid w:val="004B60E5"/>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66"/>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52"/>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513"/>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508"/>
    <w:rsid w:val="004F7706"/>
    <w:rsid w:val="004F7CA5"/>
    <w:rsid w:val="004F7CD8"/>
    <w:rsid w:val="004F7D66"/>
    <w:rsid w:val="004F7DE4"/>
    <w:rsid w:val="00500027"/>
    <w:rsid w:val="00500323"/>
    <w:rsid w:val="0050037B"/>
    <w:rsid w:val="0050053D"/>
    <w:rsid w:val="0050053F"/>
    <w:rsid w:val="005007BC"/>
    <w:rsid w:val="00500AC6"/>
    <w:rsid w:val="00500CD5"/>
    <w:rsid w:val="00500ECB"/>
    <w:rsid w:val="00500FF1"/>
    <w:rsid w:val="005013FB"/>
    <w:rsid w:val="00501521"/>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3DA"/>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48"/>
    <w:rsid w:val="005125EC"/>
    <w:rsid w:val="005126E3"/>
    <w:rsid w:val="00512D66"/>
    <w:rsid w:val="00512FD6"/>
    <w:rsid w:val="00513223"/>
    <w:rsid w:val="005134DC"/>
    <w:rsid w:val="0051366E"/>
    <w:rsid w:val="0051384A"/>
    <w:rsid w:val="00513879"/>
    <w:rsid w:val="00513FF8"/>
    <w:rsid w:val="0051409B"/>
    <w:rsid w:val="00514138"/>
    <w:rsid w:val="005144D4"/>
    <w:rsid w:val="005147E8"/>
    <w:rsid w:val="005149D0"/>
    <w:rsid w:val="00514E3B"/>
    <w:rsid w:val="00514E50"/>
    <w:rsid w:val="00515061"/>
    <w:rsid w:val="005150B5"/>
    <w:rsid w:val="0051552F"/>
    <w:rsid w:val="00515780"/>
    <w:rsid w:val="00515DB6"/>
    <w:rsid w:val="00515F89"/>
    <w:rsid w:val="00516129"/>
    <w:rsid w:val="005167A5"/>
    <w:rsid w:val="005167AD"/>
    <w:rsid w:val="005167AE"/>
    <w:rsid w:val="00516863"/>
    <w:rsid w:val="0051697F"/>
    <w:rsid w:val="00516E71"/>
    <w:rsid w:val="00516F46"/>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537"/>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B1F"/>
    <w:rsid w:val="005353B1"/>
    <w:rsid w:val="005356CF"/>
    <w:rsid w:val="00535AF0"/>
    <w:rsid w:val="00535BA5"/>
    <w:rsid w:val="00536025"/>
    <w:rsid w:val="005365CF"/>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0DD"/>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49FC"/>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23C"/>
    <w:rsid w:val="005A6892"/>
    <w:rsid w:val="005A6FB5"/>
    <w:rsid w:val="005A73F7"/>
    <w:rsid w:val="005A77AF"/>
    <w:rsid w:val="005A78B1"/>
    <w:rsid w:val="005A7AC4"/>
    <w:rsid w:val="005A7ADA"/>
    <w:rsid w:val="005B0037"/>
    <w:rsid w:val="005B0372"/>
    <w:rsid w:val="005B0467"/>
    <w:rsid w:val="005B07A5"/>
    <w:rsid w:val="005B093C"/>
    <w:rsid w:val="005B0A72"/>
    <w:rsid w:val="005B0AA6"/>
    <w:rsid w:val="005B0E4D"/>
    <w:rsid w:val="005B10E0"/>
    <w:rsid w:val="005B13E6"/>
    <w:rsid w:val="005B190C"/>
    <w:rsid w:val="005B19B2"/>
    <w:rsid w:val="005B1B5E"/>
    <w:rsid w:val="005B2E06"/>
    <w:rsid w:val="005B2E6A"/>
    <w:rsid w:val="005B3707"/>
    <w:rsid w:val="005B3941"/>
    <w:rsid w:val="005B421A"/>
    <w:rsid w:val="005B421E"/>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02C"/>
    <w:rsid w:val="005C4103"/>
    <w:rsid w:val="005C450C"/>
    <w:rsid w:val="005C4814"/>
    <w:rsid w:val="005C4885"/>
    <w:rsid w:val="005C4A38"/>
    <w:rsid w:val="005C4B21"/>
    <w:rsid w:val="005C4BDA"/>
    <w:rsid w:val="005C4E97"/>
    <w:rsid w:val="005C52F7"/>
    <w:rsid w:val="005C562D"/>
    <w:rsid w:val="005C5902"/>
    <w:rsid w:val="005C5ABF"/>
    <w:rsid w:val="005C5B17"/>
    <w:rsid w:val="005C5D42"/>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2B"/>
    <w:rsid w:val="00615D83"/>
    <w:rsid w:val="00615F0B"/>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8AA"/>
    <w:rsid w:val="00623981"/>
    <w:rsid w:val="00623A02"/>
    <w:rsid w:val="00624126"/>
    <w:rsid w:val="006242B7"/>
    <w:rsid w:val="006244D5"/>
    <w:rsid w:val="00624735"/>
    <w:rsid w:val="00624C4B"/>
    <w:rsid w:val="00625B1E"/>
    <w:rsid w:val="00626236"/>
    <w:rsid w:val="00626459"/>
    <w:rsid w:val="0062655D"/>
    <w:rsid w:val="006267B7"/>
    <w:rsid w:val="00626C72"/>
    <w:rsid w:val="00626CEF"/>
    <w:rsid w:val="00626DD0"/>
    <w:rsid w:val="006271E9"/>
    <w:rsid w:val="00627649"/>
    <w:rsid w:val="0062786D"/>
    <w:rsid w:val="0062797A"/>
    <w:rsid w:val="0063010A"/>
    <w:rsid w:val="00630592"/>
    <w:rsid w:val="006305DF"/>
    <w:rsid w:val="00630CC8"/>
    <w:rsid w:val="00630D35"/>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B06"/>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57D"/>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DBC"/>
    <w:rsid w:val="00672E9A"/>
    <w:rsid w:val="00672FE1"/>
    <w:rsid w:val="00673332"/>
    <w:rsid w:val="006735CF"/>
    <w:rsid w:val="0067374C"/>
    <w:rsid w:val="0067389F"/>
    <w:rsid w:val="00674626"/>
    <w:rsid w:val="00674700"/>
    <w:rsid w:val="006748C8"/>
    <w:rsid w:val="00674B08"/>
    <w:rsid w:val="00674B92"/>
    <w:rsid w:val="00675615"/>
    <w:rsid w:val="00675BDF"/>
    <w:rsid w:val="00675BF1"/>
    <w:rsid w:val="00675D5F"/>
    <w:rsid w:val="00675E4C"/>
    <w:rsid w:val="00676108"/>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BF5"/>
    <w:rsid w:val="00681F89"/>
    <w:rsid w:val="00681FC3"/>
    <w:rsid w:val="0068295C"/>
    <w:rsid w:val="00682A54"/>
    <w:rsid w:val="00682CF9"/>
    <w:rsid w:val="00682D43"/>
    <w:rsid w:val="006834DF"/>
    <w:rsid w:val="006836B2"/>
    <w:rsid w:val="0068414A"/>
    <w:rsid w:val="006841AC"/>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2C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0C"/>
    <w:rsid w:val="00693A37"/>
    <w:rsid w:val="00693DF9"/>
    <w:rsid w:val="0069446B"/>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9F9"/>
    <w:rsid w:val="006A6A96"/>
    <w:rsid w:val="006A6B55"/>
    <w:rsid w:val="006A6BBF"/>
    <w:rsid w:val="006A703D"/>
    <w:rsid w:val="006A7135"/>
    <w:rsid w:val="006A7141"/>
    <w:rsid w:val="006A725F"/>
    <w:rsid w:val="006A768E"/>
    <w:rsid w:val="006A7BE2"/>
    <w:rsid w:val="006A7D6D"/>
    <w:rsid w:val="006B017D"/>
    <w:rsid w:val="006B0537"/>
    <w:rsid w:val="006B0AC2"/>
    <w:rsid w:val="006B0BC5"/>
    <w:rsid w:val="006B1027"/>
    <w:rsid w:val="006B143D"/>
    <w:rsid w:val="006B1765"/>
    <w:rsid w:val="006B1973"/>
    <w:rsid w:val="006B1D80"/>
    <w:rsid w:val="006B1E7A"/>
    <w:rsid w:val="006B1EBF"/>
    <w:rsid w:val="006B2169"/>
    <w:rsid w:val="006B22C4"/>
    <w:rsid w:val="006B2326"/>
    <w:rsid w:val="006B2A4B"/>
    <w:rsid w:val="006B2B53"/>
    <w:rsid w:val="006B2C3A"/>
    <w:rsid w:val="006B2D92"/>
    <w:rsid w:val="006B3443"/>
    <w:rsid w:val="006B34F2"/>
    <w:rsid w:val="006B3704"/>
    <w:rsid w:val="006B3B0C"/>
    <w:rsid w:val="006B3B67"/>
    <w:rsid w:val="006B3B7B"/>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9C5"/>
    <w:rsid w:val="006C2B53"/>
    <w:rsid w:val="006C3447"/>
    <w:rsid w:val="006C361C"/>
    <w:rsid w:val="006C3968"/>
    <w:rsid w:val="006C4033"/>
    <w:rsid w:val="006C4859"/>
    <w:rsid w:val="006C4C4E"/>
    <w:rsid w:val="006C4CC8"/>
    <w:rsid w:val="006C4EC5"/>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EA1"/>
    <w:rsid w:val="006F0F00"/>
    <w:rsid w:val="006F0FEA"/>
    <w:rsid w:val="006F1094"/>
    <w:rsid w:val="006F1828"/>
    <w:rsid w:val="006F18AC"/>
    <w:rsid w:val="006F1A76"/>
    <w:rsid w:val="006F1FBA"/>
    <w:rsid w:val="006F20A2"/>
    <w:rsid w:val="006F2616"/>
    <w:rsid w:val="006F27ED"/>
    <w:rsid w:val="006F323D"/>
    <w:rsid w:val="006F35EF"/>
    <w:rsid w:val="006F3663"/>
    <w:rsid w:val="006F3A4B"/>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9BC"/>
    <w:rsid w:val="00703D91"/>
    <w:rsid w:val="00703FAF"/>
    <w:rsid w:val="007041F0"/>
    <w:rsid w:val="007043E8"/>
    <w:rsid w:val="007043F9"/>
    <w:rsid w:val="007046CA"/>
    <w:rsid w:val="007052B0"/>
    <w:rsid w:val="00705445"/>
    <w:rsid w:val="0070547F"/>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C10"/>
    <w:rsid w:val="00710F81"/>
    <w:rsid w:val="00711308"/>
    <w:rsid w:val="007113BD"/>
    <w:rsid w:val="00711472"/>
    <w:rsid w:val="00711748"/>
    <w:rsid w:val="00711826"/>
    <w:rsid w:val="00711E52"/>
    <w:rsid w:val="007121AB"/>
    <w:rsid w:val="007129AD"/>
    <w:rsid w:val="00712DD0"/>
    <w:rsid w:val="00712E3A"/>
    <w:rsid w:val="00712EF4"/>
    <w:rsid w:val="00713BA4"/>
    <w:rsid w:val="00713CEC"/>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0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5C"/>
    <w:rsid w:val="00725EB3"/>
    <w:rsid w:val="007262D6"/>
    <w:rsid w:val="007263BE"/>
    <w:rsid w:val="00726515"/>
    <w:rsid w:val="007272B5"/>
    <w:rsid w:val="00727872"/>
    <w:rsid w:val="007279D2"/>
    <w:rsid w:val="00727B33"/>
    <w:rsid w:val="00727BDA"/>
    <w:rsid w:val="00727E0D"/>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33E"/>
    <w:rsid w:val="00735AF2"/>
    <w:rsid w:val="00735B8C"/>
    <w:rsid w:val="00735CD9"/>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098"/>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D54"/>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1D"/>
    <w:rsid w:val="0077123F"/>
    <w:rsid w:val="007712C1"/>
    <w:rsid w:val="007719B6"/>
    <w:rsid w:val="0077293D"/>
    <w:rsid w:val="00772948"/>
    <w:rsid w:val="00772A99"/>
    <w:rsid w:val="00772BF0"/>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F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E98"/>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43F"/>
    <w:rsid w:val="007B1B83"/>
    <w:rsid w:val="007B1D9D"/>
    <w:rsid w:val="007B2031"/>
    <w:rsid w:val="007B22D2"/>
    <w:rsid w:val="007B2451"/>
    <w:rsid w:val="007B2693"/>
    <w:rsid w:val="007B2802"/>
    <w:rsid w:val="007B2F9E"/>
    <w:rsid w:val="007B3968"/>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D99"/>
    <w:rsid w:val="007C1FD5"/>
    <w:rsid w:val="007C2033"/>
    <w:rsid w:val="007C224E"/>
    <w:rsid w:val="007C2E58"/>
    <w:rsid w:val="007C3170"/>
    <w:rsid w:val="007C3FB2"/>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3C5"/>
    <w:rsid w:val="007D153B"/>
    <w:rsid w:val="007D1EF0"/>
    <w:rsid w:val="007D20D7"/>
    <w:rsid w:val="007D2BBD"/>
    <w:rsid w:val="007D2CC6"/>
    <w:rsid w:val="007D2F16"/>
    <w:rsid w:val="007D3323"/>
    <w:rsid w:val="007D3358"/>
    <w:rsid w:val="007D3879"/>
    <w:rsid w:val="007D4003"/>
    <w:rsid w:val="007D46EE"/>
    <w:rsid w:val="007D496F"/>
    <w:rsid w:val="007D49BA"/>
    <w:rsid w:val="007D4AF8"/>
    <w:rsid w:val="007D4FBC"/>
    <w:rsid w:val="007D5207"/>
    <w:rsid w:val="007D58CE"/>
    <w:rsid w:val="007D5A1D"/>
    <w:rsid w:val="007D5D99"/>
    <w:rsid w:val="007D6153"/>
    <w:rsid w:val="007D6569"/>
    <w:rsid w:val="007D6A7C"/>
    <w:rsid w:val="007D6C10"/>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53"/>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BEE"/>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3C9B"/>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1D9"/>
    <w:rsid w:val="0080021D"/>
    <w:rsid w:val="00800265"/>
    <w:rsid w:val="0080049F"/>
    <w:rsid w:val="00800696"/>
    <w:rsid w:val="00800AEF"/>
    <w:rsid w:val="00800D00"/>
    <w:rsid w:val="008015C9"/>
    <w:rsid w:val="00801923"/>
    <w:rsid w:val="00801C66"/>
    <w:rsid w:val="00802234"/>
    <w:rsid w:val="00802284"/>
    <w:rsid w:val="008022F7"/>
    <w:rsid w:val="00802353"/>
    <w:rsid w:val="00802433"/>
    <w:rsid w:val="008028B4"/>
    <w:rsid w:val="00802D9F"/>
    <w:rsid w:val="00802E53"/>
    <w:rsid w:val="00802E61"/>
    <w:rsid w:val="00802FE0"/>
    <w:rsid w:val="00803118"/>
    <w:rsid w:val="00803586"/>
    <w:rsid w:val="00803F1F"/>
    <w:rsid w:val="00804261"/>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6FFC"/>
    <w:rsid w:val="0080708F"/>
    <w:rsid w:val="00807258"/>
    <w:rsid w:val="00807370"/>
    <w:rsid w:val="008073FB"/>
    <w:rsid w:val="0080774D"/>
    <w:rsid w:val="008077A8"/>
    <w:rsid w:val="008078B0"/>
    <w:rsid w:val="00807A1F"/>
    <w:rsid w:val="00807C04"/>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1D8"/>
    <w:rsid w:val="008302F1"/>
    <w:rsid w:val="00830526"/>
    <w:rsid w:val="0083082D"/>
    <w:rsid w:val="00830AA5"/>
    <w:rsid w:val="00830B22"/>
    <w:rsid w:val="00830B90"/>
    <w:rsid w:val="00830D94"/>
    <w:rsid w:val="00830E46"/>
    <w:rsid w:val="00830FE3"/>
    <w:rsid w:val="008311CE"/>
    <w:rsid w:val="00831356"/>
    <w:rsid w:val="0083191E"/>
    <w:rsid w:val="008319E1"/>
    <w:rsid w:val="00831D45"/>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20A"/>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C7"/>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B3B"/>
    <w:rsid w:val="00874FC2"/>
    <w:rsid w:val="00875395"/>
    <w:rsid w:val="008754BC"/>
    <w:rsid w:val="008754F8"/>
    <w:rsid w:val="0087556F"/>
    <w:rsid w:val="00875CD0"/>
    <w:rsid w:val="00875DB5"/>
    <w:rsid w:val="0087626B"/>
    <w:rsid w:val="00876526"/>
    <w:rsid w:val="008773FF"/>
    <w:rsid w:val="00877802"/>
    <w:rsid w:val="008801E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1D3"/>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5EC7"/>
    <w:rsid w:val="0088600F"/>
    <w:rsid w:val="008860C3"/>
    <w:rsid w:val="008861B8"/>
    <w:rsid w:val="0088635F"/>
    <w:rsid w:val="008863B9"/>
    <w:rsid w:val="0088670D"/>
    <w:rsid w:val="00886734"/>
    <w:rsid w:val="00886E91"/>
    <w:rsid w:val="00886FED"/>
    <w:rsid w:val="008871C8"/>
    <w:rsid w:val="00887266"/>
    <w:rsid w:val="0088736C"/>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4E7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673"/>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CA8"/>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6F7C"/>
    <w:rsid w:val="008B710B"/>
    <w:rsid w:val="008B7300"/>
    <w:rsid w:val="008B740F"/>
    <w:rsid w:val="008C0304"/>
    <w:rsid w:val="008C04C3"/>
    <w:rsid w:val="008C0858"/>
    <w:rsid w:val="008C0E70"/>
    <w:rsid w:val="008C0EF2"/>
    <w:rsid w:val="008C1336"/>
    <w:rsid w:val="008C14E9"/>
    <w:rsid w:val="008C1506"/>
    <w:rsid w:val="008C1912"/>
    <w:rsid w:val="008C1A2E"/>
    <w:rsid w:val="008C212D"/>
    <w:rsid w:val="008C257B"/>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DF4"/>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66C"/>
    <w:rsid w:val="008E6914"/>
    <w:rsid w:val="008E6B4A"/>
    <w:rsid w:val="008E6BA9"/>
    <w:rsid w:val="008E6DA5"/>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95F"/>
    <w:rsid w:val="008F5140"/>
    <w:rsid w:val="008F539C"/>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0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BB1"/>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2C7"/>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3F7"/>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34D"/>
    <w:rsid w:val="0094641B"/>
    <w:rsid w:val="0094664F"/>
    <w:rsid w:val="00946CB1"/>
    <w:rsid w:val="00946D86"/>
    <w:rsid w:val="00946F1C"/>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B2C"/>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E5B"/>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B3"/>
    <w:rsid w:val="00972DE7"/>
    <w:rsid w:val="00973089"/>
    <w:rsid w:val="0097342F"/>
    <w:rsid w:val="00973C32"/>
    <w:rsid w:val="00973CC0"/>
    <w:rsid w:val="00973D0B"/>
    <w:rsid w:val="0097435C"/>
    <w:rsid w:val="009745A7"/>
    <w:rsid w:val="009749BF"/>
    <w:rsid w:val="00974E69"/>
    <w:rsid w:val="0097508C"/>
    <w:rsid w:val="00975277"/>
    <w:rsid w:val="0097553D"/>
    <w:rsid w:val="0097584A"/>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35"/>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5F8F"/>
    <w:rsid w:val="00986005"/>
    <w:rsid w:val="00986286"/>
    <w:rsid w:val="0098649F"/>
    <w:rsid w:val="009866BC"/>
    <w:rsid w:val="00986884"/>
    <w:rsid w:val="00986A02"/>
    <w:rsid w:val="00986FFF"/>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81B"/>
    <w:rsid w:val="009A19C6"/>
    <w:rsid w:val="009A1B35"/>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C"/>
    <w:rsid w:val="009A5F3F"/>
    <w:rsid w:val="009A6E78"/>
    <w:rsid w:val="009A6F3C"/>
    <w:rsid w:val="009A70C4"/>
    <w:rsid w:val="009A7E73"/>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13"/>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0C11"/>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72"/>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8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B8"/>
    <w:rsid w:val="00A014F6"/>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0D"/>
    <w:rsid w:val="00A2102A"/>
    <w:rsid w:val="00A212A0"/>
    <w:rsid w:val="00A2176C"/>
    <w:rsid w:val="00A21A25"/>
    <w:rsid w:val="00A21A6A"/>
    <w:rsid w:val="00A21AA3"/>
    <w:rsid w:val="00A21D17"/>
    <w:rsid w:val="00A21ED0"/>
    <w:rsid w:val="00A2210F"/>
    <w:rsid w:val="00A22201"/>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6F8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A9C"/>
    <w:rsid w:val="00A36B46"/>
    <w:rsid w:val="00A36B7A"/>
    <w:rsid w:val="00A36C36"/>
    <w:rsid w:val="00A36CD2"/>
    <w:rsid w:val="00A36E2D"/>
    <w:rsid w:val="00A3712E"/>
    <w:rsid w:val="00A37315"/>
    <w:rsid w:val="00A37994"/>
    <w:rsid w:val="00A37A3E"/>
    <w:rsid w:val="00A40407"/>
    <w:rsid w:val="00A40EA2"/>
    <w:rsid w:val="00A40EF8"/>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B6D"/>
    <w:rsid w:val="00A44CCD"/>
    <w:rsid w:val="00A4565C"/>
    <w:rsid w:val="00A45D74"/>
    <w:rsid w:val="00A45D8B"/>
    <w:rsid w:val="00A4633D"/>
    <w:rsid w:val="00A464BB"/>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96F"/>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DDF"/>
    <w:rsid w:val="00A76EDB"/>
    <w:rsid w:val="00A77A82"/>
    <w:rsid w:val="00A77C56"/>
    <w:rsid w:val="00A804BD"/>
    <w:rsid w:val="00A80863"/>
    <w:rsid w:val="00A808FA"/>
    <w:rsid w:val="00A80D91"/>
    <w:rsid w:val="00A81404"/>
    <w:rsid w:val="00A81490"/>
    <w:rsid w:val="00A81663"/>
    <w:rsid w:val="00A820BF"/>
    <w:rsid w:val="00A82465"/>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4EBD"/>
    <w:rsid w:val="00A85097"/>
    <w:rsid w:val="00A854C4"/>
    <w:rsid w:val="00A85FDF"/>
    <w:rsid w:val="00A86232"/>
    <w:rsid w:val="00A86365"/>
    <w:rsid w:val="00A863EB"/>
    <w:rsid w:val="00A86954"/>
    <w:rsid w:val="00A8763B"/>
    <w:rsid w:val="00A876E0"/>
    <w:rsid w:val="00A87C09"/>
    <w:rsid w:val="00A87DB8"/>
    <w:rsid w:val="00A900E9"/>
    <w:rsid w:val="00A90132"/>
    <w:rsid w:val="00A90957"/>
    <w:rsid w:val="00A90B5C"/>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869"/>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78"/>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B03"/>
    <w:rsid w:val="00AD4CD0"/>
    <w:rsid w:val="00AD4D88"/>
    <w:rsid w:val="00AD506A"/>
    <w:rsid w:val="00AD51E1"/>
    <w:rsid w:val="00AD568D"/>
    <w:rsid w:val="00AD573F"/>
    <w:rsid w:val="00AD5883"/>
    <w:rsid w:val="00AD59EE"/>
    <w:rsid w:val="00AD60BA"/>
    <w:rsid w:val="00AD6518"/>
    <w:rsid w:val="00AD6585"/>
    <w:rsid w:val="00AD6593"/>
    <w:rsid w:val="00AD6659"/>
    <w:rsid w:val="00AD6D34"/>
    <w:rsid w:val="00AD7379"/>
    <w:rsid w:val="00AD76C9"/>
    <w:rsid w:val="00AD77A6"/>
    <w:rsid w:val="00AD782D"/>
    <w:rsid w:val="00AD79B7"/>
    <w:rsid w:val="00AD7A14"/>
    <w:rsid w:val="00AD7FB2"/>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597"/>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11"/>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247"/>
    <w:rsid w:val="00B144F2"/>
    <w:rsid w:val="00B145DD"/>
    <w:rsid w:val="00B14761"/>
    <w:rsid w:val="00B148D6"/>
    <w:rsid w:val="00B149A2"/>
    <w:rsid w:val="00B1501C"/>
    <w:rsid w:val="00B15099"/>
    <w:rsid w:val="00B15208"/>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757"/>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4EE"/>
    <w:rsid w:val="00B2565A"/>
    <w:rsid w:val="00B258B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CB6"/>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F1"/>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4E9B"/>
    <w:rsid w:val="00B45343"/>
    <w:rsid w:val="00B45935"/>
    <w:rsid w:val="00B459B9"/>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30E"/>
    <w:rsid w:val="00B5552C"/>
    <w:rsid w:val="00B55A72"/>
    <w:rsid w:val="00B55FBC"/>
    <w:rsid w:val="00B56077"/>
    <w:rsid w:val="00B56746"/>
    <w:rsid w:val="00B56DCC"/>
    <w:rsid w:val="00B56E11"/>
    <w:rsid w:val="00B576BE"/>
    <w:rsid w:val="00B57A3E"/>
    <w:rsid w:val="00B57B7B"/>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3FC3"/>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940"/>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0FCA"/>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5EBD"/>
    <w:rsid w:val="00BB619B"/>
    <w:rsid w:val="00BB626C"/>
    <w:rsid w:val="00BB706B"/>
    <w:rsid w:val="00BB7805"/>
    <w:rsid w:val="00BB79D6"/>
    <w:rsid w:val="00BB7A98"/>
    <w:rsid w:val="00BB7BE8"/>
    <w:rsid w:val="00BC0168"/>
    <w:rsid w:val="00BC0564"/>
    <w:rsid w:val="00BC07E9"/>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E7FA2"/>
    <w:rsid w:val="00BF01CB"/>
    <w:rsid w:val="00BF03D5"/>
    <w:rsid w:val="00BF03E6"/>
    <w:rsid w:val="00BF0B5D"/>
    <w:rsid w:val="00BF0B67"/>
    <w:rsid w:val="00BF0B76"/>
    <w:rsid w:val="00BF0D0E"/>
    <w:rsid w:val="00BF0E5F"/>
    <w:rsid w:val="00BF1157"/>
    <w:rsid w:val="00BF1B6B"/>
    <w:rsid w:val="00BF1B6E"/>
    <w:rsid w:val="00BF2250"/>
    <w:rsid w:val="00BF226B"/>
    <w:rsid w:val="00BF2304"/>
    <w:rsid w:val="00BF25F3"/>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6CA"/>
    <w:rsid w:val="00C04F27"/>
    <w:rsid w:val="00C04F37"/>
    <w:rsid w:val="00C04F7E"/>
    <w:rsid w:val="00C05063"/>
    <w:rsid w:val="00C05996"/>
    <w:rsid w:val="00C05DB9"/>
    <w:rsid w:val="00C05FC0"/>
    <w:rsid w:val="00C0615C"/>
    <w:rsid w:val="00C06914"/>
    <w:rsid w:val="00C069EB"/>
    <w:rsid w:val="00C06D3C"/>
    <w:rsid w:val="00C06D78"/>
    <w:rsid w:val="00C07314"/>
    <w:rsid w:val="00C0755A"/>
    <w:rsid w:val="00C0768F"/>
    <w:rsid w:val="00C0774C"/>
    <w:rsid w:val="00C07790"/>
    <w:rsid w:val="00C07AD1"/>
    <w:rsid w:val="00C10269"/>
    <w:rsid w:val="00C10330"/>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82"/>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4B"/>
    <w:rsid w:val="00C23D5E"/>
    <w:rsid w:val="00C241E3"/>
    <w:rsid w:val="00C241ED"/>
    <w:rsid w:val="00C247E2"/>
    <w:rsid w:val="00C2486B"/>
    <w:rsid w:val="00C248DE"/>
    <w:rsid w:val="00C24B2B"/>
    <w:rsid w:val="00C24D19"/>
    <w:rsid w:val="00C24D20"/>
    <w:rsid w:val="00C252E1"/>
    <w:rsid w:val="00C252EB"/>
    <w:rsid w:val="00C25395"/>
    <w:rsid w:val="00C2539C"/>
    <w:rsid w:val="00C255C7"/>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1ED"/>
    <w:rsid w:val="00C4423C"/>
    <w:rsid w:val="00C44584"/>
    <w:rsid w:val="00C44AE2"/>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0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038"/>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220"/>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10"/>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4E9"/>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D70"/>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295"/>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7B"/>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887"/>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4CA"/>
    <w:rsid w:val="00CC16D0"/>
    <w:rsid w:val="00CC23C0"/>
    <w:rsid w:val="00CC2671"/>
    <w:rsid w:val="00CC3143"/>
    <w:rsid w:val="00CC33C3"/>
    <w:rsid w:val="00CC3452"/>
    <w:rsid w:val="00CC358E"/>
    <w:rsid w:val="00CC3D09"/>
    <w:rsid w:val="00CC437A"/>
    <w:rsid w:val="00CC45A1"/>
    <w:rsid w:val="00CC4F2A"/>
    <w:rsid w:val="00CC5200"/>
    <w:rsid w:val="00CC528C"/>
    <w:rsid w:val="00CC5DBC"/>
    <w:rsid w:val="00CC6049"/>
    <w:rsid w:val="00CC6730"/>
    <w:rsid w:val="00CC6823"/>
    <w:rsid w:val="00CC691D"/>
    <w:rsid w:val="00CC7D03"/>
    <w:rsid w:val="00CC7D19"/>
    <w:rsid w:val="00CC7FED"/>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2B"/>
    <w:rsid w:val="00CD7934"/>
    <w:rsid w:val="00CD799C"/>
    <w:rsid w:val="00CD7A61"/>
    <w:rsid w:val="00CD7A85"/>
    <w:rsid w:val="00CD7CD3"/>
    <w:rsid w:val="00CD7D47"/>
    <w:rsid w:val="00CE02B7"/>
    <w:rsid w:val="00CE03CC"/>
    <w:rsid w:val="00CE04C8"/>
    <w:rsid w:val="00CE05E8"/>
    <w:rsid w:val="00CE1316"/>
    <w:rsid w:val="00CE1616"/>
    <w:rsid w:val="00CE1681"/>
    <w:rsid w:val="00CE16AC"/>
    <w:rsid w:val="00CE1C8F"/>
    <w:rsid w:val="00CE1E14"/>
    <w:rsid w:val="00CE1E51"/>
    <w:rsid w:val="00CE20BE"/>
    <w:rsid w:val="00CE228F"/>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6B1"/>
    <w:rsid w:val="00CF1CB9"/>
    <w:rsid w:val="00CF22EA"/>
    <w:rsid w:val="00CF23A7"/>
    <w:rsid w:val="00CF2684"/>
    <w:rsid w:val="00CF2701"/>
    <w:rsid w:val="00CF2BC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7B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0D2A"/>
    <w:rsid w:val="00D11107"/>
    <w:rsid w:val="00D11837"/>
    <w:rsid w:val="00D11852"/>
    <w:rsid w:val="00D11C9A"/>
    <w:rsid w:val="00D11D61"/>
    <w:rsid w:val="00D11E8A"/>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D2"/>
    <w:rsid w:val="00D22F16"/>
    <w:rsid w:val="00D235E6"/>
    <w:rsid w:val="00D23B7E"/>
    <w:rsid w:val="00D23F87"/>
    <w:rsid w:val="00D24423"/>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241C"/>
    <w:rsid w:val="00D432A1"/>
    <w:rsid w:val="00D433EA"/>
    <w:rsid w:val="00D438CC"/>
    <w:rsid w:val="00D43A07"/>
    <w:rsid w:val="00D43AB9"/>
    <w:rsid w:val="00D43CAD"/>
    <w:rsid w:val="00D43E62"/>
    <w:rsid w:val="00D446DF"/>
    <w:rsid w:val="00D44BC1"/>
    <w:rsid w:val="00D44D19"/>
    <w:rsid w:val="00D44E51"/>
    <w:rsid w:val="00D451C4"/>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739"/>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3E0C"/>
    <w:rsid w:val="00D540BE"/>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23E"/>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1C9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177"/>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EE8"/>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817"/>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95A"/>
    <w:rsid w:val="00DA3CE4"/>
    <w:rsid w:val="00DA42D5"/>
    <w:rsid w:val="00DA4475"/>
    <w:rsid w:val="00DA44DE"/>
    <w:rsid w:val="00DA486E"/>
    <w:rsid w:val="00DA49C5"/>
    <w:rsid w:val="00DA51E0"/>
    <w:rsid w:val="00DA582B"/>
    <w:rsid w:val="00DA596C"/>
    <w:rsid w:val="00DA5F91"/>
    <w:rsid w:val="00DA60D6"/>
    <w:rsid w:val="00DA6553"/>
    <w:rsid w:val="00DA65DF"/>
    <w:rsid w:val="00DA6A3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C01"/>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D19"/>
    <w:rsid w:val="00DD3EE6"/>
    <w:rsid w:val="00DD4B70"/>
    <w:rsid w:val="00DD4C8A"/>
    <w:rsid w:val="00DD4E57"/>
    <w:rsid w:val="00DD4F1A"/>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328"/>
    <w:rsid w:val="00DE3862"/>
    <w:rsid w:val="00DE39D5"/>
    <w:rsid w:val="00DE3A14"/>
    <w:rsid w:val="00DE3C38"/>
    <w:rsid w:val="00DE3EA1"/>
    <w:rsid w:val="00DE3FCC"/>
    <w:rsid w:val="00DE4276"/>
    <w:rsid w:val="00DE434D"/>
    <w:rsid w:val="00DE4504"/>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0AE7"/>
    <w:rsid w:val="00DF15FF"/>
    <w:rsid w:val="00DF1D6F"/>
    <w:rsid w:val="00DF2269"/>
    <w:rsid w:val="00DF22EF"/>
    <w:rsid w:val="00DF2382"/>
    <w:rsid w:val="00DF24B3"/>
    <w:rsid w:val="00DF2537"/>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762"/>
    <w:rsid w:val="00DF7864"/>
    <w:rsid w:val="00DF7AF7"/>
    <w:rsid w:val="00DF7B3E"/>
    <w:rsid w:val="00E00196"/>
    <w:rsid w:val="00E00755"/>
    <w:rsid w:val="00E007F3"/>
    <w:rsid w:val="00E008BF"/>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671"/>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64D"/>
    <w:rsid w:val="00E35B99"/>
    <w:rsid w:val="00E36279"/>
    <w:rsid w:val="00E369DA"/>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505"/>
    <w:rsid w:val="00E41791"/>
    <w:rsid w:val="00E41BE1"/>
    <w:rsid w:val="00E41C27"/>
    <w:rsid w:val="00E41EA7"/>
    <w:rsid w:val="00E41FC9"/>
    <w:rsid w:val="00E4278B"/>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715"/>
    <w:rsid w:val="00E44729"/>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2F"/>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8F"/>
    <w:rsid w:val="00E611B2"/>
    <w:rsid w:val="00E61597"/>
    <w:rsid w:val="00E6160F"/>
    <w:rsid w:val="00E618D5"/>
    <w:rsid w:val="00E61A09"/>
    <w:rsid w:val="00E61A54"/>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115"/>
    <w:rsid w:val="00E9122A"/>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8"/>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9CF"/>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386"/>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9F9"/>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7E1"/>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39"/>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331"/>
    <w:rsid w:val="00ED64CA"/>
    <w:rsid w:val="00ED6579"/>
    <w:rsid w:val="00ED666D"/>
    <w:rsid w:val="00ED6947"/>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B5B"/>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6B8"/>
    <w:rsid w:val="00EF1D2E"/>
    <w:rsid w:val="00EF1D40"/>
    <w:rsid w:val="00EF1DC3"/>
    <w:rsid w:val="00EF22A2"/>
    <w:rsid w:val="00EF22D9"/>
    <w:rsid w:val="00EF2FD9"/>
    <w:rsid w:val="00EF38CF"/>
    <w:rsid w:val="00EF3C29"/>
    <w:rsid w:val="00EF451B"/>
    <w:rsid w:val="00EF480B"/>
    <w:rsid w:val="00EF4854"/>
    <w:rsid w:val="00EF4932"/>
    <w:rsid w:val="00EF4D8F"/>
    <w:rsid w:val="00EF4E60"/>
    <w:rsid w:val="00EF4EB4"/>
    <w:rsid w:val="00EF53B9"/>
    <w:rsid w:val="00EF5507"/>
    <w:rsid w:val="00EF5B30"/>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197"/>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5B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1EE"/>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A85"/>
    <w:rsid w:val="00F34B79"/>
    <w:rsid w:val="00F34C52"/>
    <w:rsid w:val="00F34FBD"/>
    <w:rsid w:val="00F355A4"/>
    <w:rsid w:val="00F35AB3"/>
    <w:rsid w:val="00F35C9D"/>
    <w:rsid w:val="00F35ECC"/>
    <w:rsid w:val="00F362C0"/>
    <w:rsid w:val="00F363FF"/>
    <w:rsid w:val="00F366B3"/>
    <w:rsid w:val="00F366BE"/>
    <w:rsid w:val="00F373E1"/>
    <w:rsid w:val="00F37995"/>
    <w:rsid w:val="00F37EED"/>
    <w:rsid w:val="00F37F2C"/>
    <w:rsid w:val="00F4003D"/>
    <w:rsid w:val="00F40107"/>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C4"/>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5FFF"/>
    <w:rsid w:val="00F6600E"/>
    <w:rsid w:val="00F66208"/>
    <w:rsid w:val="00F668B4"/>
    <w:rsid w:val="00F66935"/>
    <w:rsid w:val="00F6694E"/>
    <w:rsid w:val="00F66E8D"/>
    <w:rsid w:val="00F6703C"/>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0E"/>
    <w:rsid w:val="00F76FC9"/>
    <w:rsid w:val="00F7722F"/>
    <w:rsid w:val="00F772CB"/>
    <w:rsid w:val="00F77930"/>
    <w:rsid w:val="00F77A1C"/>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175"/>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F12"/>
    <w:rsid w:val="00FC6FAE"/>
    <w:rsid w:val="00FC7425"/>
    <w:rsid w:val="00FC754D"/>
    <w:rsid w:val="00FC764A"/>
    <w:rsid w:val="00FC79D0"/>
    <w:rsid w:val="00FC7CAA"/>
    <w:rsid w:val="00FC7CD8"/>
    <w:rsid w:val="00FC7CE0"/>
    <w:rsid w:val="00FC7E4A"/>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02A"/>
    <w:rsid w:val="00FE1B7A"/>
    <w:rsid w:val="00FE1BF7"/>
    <w:rsid w:val="00FE1C8D"/>
    <w:rsid w:val="00FE1DCB"/>
    <w:rsid w:val="00FE2114"/>
    <w:rsid w:val="00FE22BB"/>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AF5"/>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3B"/>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4F14BAD-DFDE-4BDA-AF4D-0A30F78D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11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3139476">
      <w:bodyDiv w:val="1"/>
      <w:marLeft w:val="0"/>
      <w:marRight w:val="0"/>
      <w:marTop w:val="0"/>
      <w:marBottom w:val="0"/>
      <w:divBdr>
        <w:top w:val="none" w:sz="0" w:space="0" w:color="auto"/>
        <w:left w:val="none" w:sz="0" w:space="0" w:color="auto"/>
        <w:bottom w:val="none" w:sz="0" w:space="0" w:color="auto"/>
        <w:right w:val="none" w:sz="0" w:space="0" w:color="auto"/>
      </w:divBdr>
      <w:divsChild>
        <w:div w:id="2116710448">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4406793">
      <w:bodyDiv w:val="1"/>
      <w:marLeft w:val="0"/>
      <w:marRight w:val="0"/>
      <w:marTop w:val="0"/>
      <w:marBottom w:val="0"/>
      <w:divBdr>
        <w:top w:val="none" w:sz="0" w:space="0" w:color="auto"/>
        <w:left w:val="none" w:sz="0" w:space="0" w:color="auto"/>
        <w:bottom w:val="none" w:sz="0" w:space="0" w:color="auto"/>
        <w:right w:val="none" w:sz="0" w:space="0" w:color="auto"/>
      </w:divBdr>
      <w:divsChild>
        <w:div w:id="296570392">
          <w:marLeft w:val="0"/>
          <w:marRight w:val="0"/>
          <w:marTop w:val="0"/>
          <w:marBottom w:val="0"/>
          <w:divBdr>
            <w:top w:val="none" w:sz="0" w:space="0" w:color="auto"/>
            <w:left w:val="none" w:sz="0" w:space="0" w:color="auto"/>
            <w:bottom w:val="none" w:sz="0" w:space="0" w:color="auto"/>
            <w:right w:val="none" w:sz="0" w:space="0" w:color="auto"/>
          </w:divBdr>
        </w:div>
      </w:divsChild>
    </w:div>
    <w:div w:id="426773984">
      <w:bodyDiv w:val="1"/>
      <w:marLeft w:val="0"/>
      <w:marRight w:val="0"/>
      <w:marTop w:val="0"/>
      <w:marBottom w:val="0"/>
      <w:divBdr>
        <w:top w:val="none" w:sz="0" w:space="0" w:color="auto"/>
        <w:left w:val="none" w:sz="0" w:space="0" w:color="auto"/>
        <w:bottom w:val="none" w:sz="0" w:space="0" w:color="auto"/>
        <w:right w:val="none" w:sz="0" w:space="0" w:color="auto"/>
      </w:divBdr>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92900978">
      <w:bodyDiv w:val="1"/>
      <w:marLeft w:val="0"/>
      <w:marRight w:val="0"/>
      <w:marTop w:val="0"/>
      <w:marBottom w:val="0"/>
      <w:divBdr>
        <w:top w:val="none" w:sz="0" w:space="0" w:color="auto"/>
        <w:left w:val="none" w:sz="0" w:space="0" w:color="auto"/>
        <w:bottom w:val="none" w:sz="0" w:space="0" w:color="auto"/>
        <w:right w:val="none" w:sz="0" w:space="0" w:color="auto"/>
      </w:divBdr>
      <w:divsChild>
        <w:div w:id="2050957566">
          <w:marLeft w:val="0"/>
          <w:marRight w:val="0"/>
          <w:marTop w:val="0"/>
          <w:marBottom w:val="0"/>
          <w:divBdr>
            <w:top w:val="none" w:sz="0" w:space="0" w:color="auto"/>
            <w:left w:val="none" w:sz="0" w:space="0" w:color="auto"/>
            <w:bottom w:val="none" w:sz="0" w:space="0" w:color="auto"/>
            <w:right w:val="none" w:sz="0" w:space="0" w:color="auto"/>
          </w:divBdr>
        </w:div>
      </w:divsChild>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878373">
      <w:bodyDiv w:val="1"/>
      <w:marLeft w:val="0"/>
      <w:marRight w:val="0"/>
      <w:marTop w:val="0"/>
      <w:marBottom w:val="0"/>
      <w:divBdr>
        <w:top w:val="none" w:sz="0" w:space="0" w:color="auto"/>
        <w:left w:val="none" w:sz="0" w:space="0" w:color="auto"/>
        <w:bottom w:val="none" w:sz="0" w:space="0" w:color="auto"/>
        <w:right w:val="none" w:sz="0" w:space="0" w:color="auto"/>
      </w:divBdr>
      <w:divsChild>
        <w:div w:id="1568880075">
          <w:marLeft w:val="0"/>
          <w:marRight w:val="0"/>
          <w:marTop w:val="0"/>
          <w:marBottom w:val="0"/>
          <w:divBdr>
            <w:top w:val="none" w:sz="0" w:space="0" w:color="auto"/>
            <w:left w:val="none" w:sz="0" w:space="0" w:color="auto"/>
            <w:bottom w:val="none" w:sz="0" w:space="0" w:color="auto"/>
            <w:right w:val="none" w:sz="0" w:space="0" w:color="auto"/>
          </w:divBdr>
        </w:div>
      </w:divsChild>
    </w:div>
    <w:div w:id="1518999620">
      <w:bodyDiv w:val="1"/>
      <w:marLeft w:val="0"/>
      <w:marRight w:val="0"/>
      <w:marTop w:val="0"/>
      <w:marBottom w:val="0"/>
      <w:divBdr>
        <w:top w:val="none" w:sz="0" w:space="0" w:color="auto"/>
        <w:left w:val="none" w:sz="0" w:space="0" w:color="auto"/>
        <w:bottom w:val="none" w:sz="0" w:space="0" w:color="auto"/>
        <w:right w:val="none" w:sz="0" w:space="0" w:color="auto"/>
      </w:divBdr>
      <w:divsChild>
        <w:div w:id="451899265">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 w:id="1986544326">
      <w:bodyDiv w:val="1"/>
      <w:marLeft w:val="0"/>
      <w:marRight w:val="0"/>
      <w:marTop w:val="0"/>
      <w:marBottom w:val="0"/>
      <w:divBdr>
        <w:top w:val="none" w:sz="0" w:space="0" w:color="auto"/>
        <w:left w:val="none" w:sz="0" w:space="0" w:color="auto"/>
        <w:bottom w:val="none" w:sz="0" w:space="0" w:color="auto"/>
        <w:right w:val="none" w:sz="0" w:space="0" w:color="auto"/>
      </w:divBdr>
      <w:divsChild>
        <w:div w:id="1536309122">
          <w:marLeft w:val="0"/>
          <w:marRight w:val="0"/>
          <w:marTop w:val="0"/>
          <w:marBottom w:val="0"/>
          <w:divBdr>
            <w:top w:val="none" w:sz="0" w:space="0" w:color="auto"/>
            <w:left w:val="none" w:sz="0" w:space="0" w:color="auto"/>
            <w:bottom w:val="none" w:sz="0" w:space="0" w:color="auto"/>
            <w:right w:val="none" w:sz="0" w:space="0" w:color="auto"/>
          </w:divBdr>
        </w:div>
        <w:div w:id="180433489">
          <w:marLeft w:val="0"/>
          <w:marRight w:val="0"/>
          <w:marTop w:val="0"/>
          <w:marBottom w:val="0"/>
          <w:divBdr>
            <w:top w:val="none" w:sz="0" w:space="0" w:color="auto"/>
            <w:left w:val="none" w:sz="0" w:space="0" w:color="auto"/>
            <w:bottom w:val="none" w:sz="0" w:space="0" w:color="auto"/>
            <w:right w:val="none" w:sz="0" w:space="0" w:color="auto"/>
          </w:divBdr>
        </w:div>
      </w:divsChild>
    </w:div>
    <w:div w:id="2060980404">
      <w:bodyDiv w:val="1"/>
      <w:marLeft w:val="0"/>
      <w:marRight w:val="0"/>
      <w:marTop w:val="0"/>
      <w:marBottom w:val="0"/>
      <w:divBdr>
        <w:top w:val="none" w:sz="0" w:space="0" w:color="auto"/>
        <w:left w:val="none" w:sz="0" w:space="0" w:color="auto"/>
        <w:bottom w:val="none" w:sz="0" w:space="0" w:color="auto"/>
        <w:right w:val="none" w:sz="0" w:space="0" w:color="auto"/>
      </w:divBdr>
      <w:divsChild>
        <w:div w:id="363867125">
          <w:marLeft w:val="0"/>
          <w:marRight w:val="0"/>
          <w:marTop w:val="0"/>
          <w:marBottom w:val="0"/>
          <w:divBdr>
            <w:top w:val="none" w:sz="0" w:space="0" w:color="auto"/>
            <w:left w:val="none" w:sz="0" w:space="0" w:color="auto"/>
            <w:bottom w:val="none" w:sz="0" w:space="0" w:color="auto"/>
            <w:right w:val="none" w:sz="0" w:space="0" w:color="auto"/>
          </w:divBdr>
        </w:div>
      </w:divsChild>
    </w:div>
    <w:div w:id="2079204951">
      <w:bodyDiv w:val="1"/>
      <w:marLeft w:val="0"/>
      <w:marRight w:val="0"/>
      <w:marTop w:val="0"/>
      <w:marBottom w:val="0"/>
      <w:divBdr>
        <w:top w:val="none" w:sz="0" w:space="0" w:color="auto"/>
        <w:left w:val="none" w:sz="0" w:space="0" w:color="auto"/>
        <w:bottom w:val="none" w:sz="0" w:space="0" w:color="auto"/>
        <w:right w:val="none" w:sz="0" w:space="0" w:color="auto"/>
      </w:divBdr>
      <w:divsChild>
        <w:div w:id="1885824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C3122-5195-4D5E-A200-C6480AF2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1893</Words>
  <Characters>10036</Characters>
  <Application>Microsoft Office Word</Application>
  <DocSecurity>0</DocSecurity>
  <Lines>149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cp:lastModifiedBy>
  <cp:revision>22</cp:revision>
  <cp:lastPrinted>2018-04-04T09:40:00Z</cp:lastPrinted>
  <dcterms:created xsi:type="dcterms:W3CDTF">2023-08-09T04:39:00Z</dcterms:created>
  <dcterms:modified xsi:type="dcterms:W3CDTF">2023-08-11T05:54:00Z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011e18a02c6611ee80001f3000001f30">
    <vt:lpwstr>CWMgA6PF1p1GOQt10rkTK+Gth/2jKKVMRY63gW3rEbFsBaXLcccPjPWccA592KeJfCpT7DpRvYVOxMC/tUsr/Gdjw==</vt:lpwstr>
  </property>
</Properties>
</file>